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D272D">
      <w:pPr>
        <w:spacing w:line="1000" w:lineRule="exact"/>
        <w:ind w:left="2363" w:hanging="2363" w:hangingChars="535"/>
        <w:jc w:val="left"/>
        <w:rPr>
          <w:rFonts w:hint="eastAsia" w:asciiTheme="minorEastAsia" w:hAnsiTheme="minorEastAsia" w:eastAsiaTheme="minorEastAsia"/>
          <w:b/>
          <w:bCs/>
          <w:color w:val="000000" w:themeColor="text1"/>
          <w:sz w:val="44"/>
          <w:szCs w:val="44"/>
          <w14:textFill>
            <w14:solidFill>
              <w14:schemeClr w14:val="tx1"/>
            </w14:solidFill>
          </w14:textFill>
        </w:rPr>
      </w:pPr>
    </w:p>
    <w:p w14:paraId="00655A85">
      <w:pPr>
        <w:spacing w:line="1000" w:lineRule="exact"/>
        <w:ind w:left="2363" w:hanging="2363" w:hangingChars="535"/>
        <w:jc w:val="right"/>
        <w:rPr>
          <w:rFonts w:hint="eastAsia" w:asciiTheme="minorEastAsia" w:hAnsiTheme="minorEastAsia" w:eastAsiaTheme="minorEastAsia"/>
          <w:b/>
          <w:bCs/>
          <w:color w:val="000000" w:themeColor="text1"/>
          <w:sz w:val="44"/>
          <w:szCs w:val="44"/>
          <w14:textFill>
            <w14:solidFill>
              <w14:schemeClr w14:val="tx1"/>
            </w14:solidFill>
          </w14:textFill>
        </w:rPr>
      </w:pPr>
    </w:p>
    <w:p w14:paraId="05A9F207">
      <w:pPr>
        <w:spacing w:line="1000" w:lineRule="exact"/>
        <w:ind w:left="2363" w:hanging="2363" w:hangingChars="535"/>
        <w:jc w:val="right"/>
        <w:rPr>
          <w:rFonts w:hint="eastAsia" w:asciiTheme="minorEastAsia" w:hAnsiTheme="minorEastAsia" w:eastAsiaTheme="minorEastAsia"/>
          <w:b/>
          <w:bCs/>
          <w:color w:val="000000" w:themeColor="text1"/>
          <w:sz w:val="44"/>
          <w:szCs w:val="44"/>
          <w14:textFill>
            <w14:solidFill>
              <w14:schemeClr w14:val="tx1"/>
            </w14:solidFill>
          </w14:textFill>
        </w:rPr>
      </w:pPr>
    </w:p>
    <w:p w14:paraId="66848ED3">
      <w:pPr>
        <w:jc w:val="center"/>
        <w:rPr>
          <w:rFonts w:hint="default" w:cs="Times New Roman" w:asciiTheme="minorEastAsia" w:hAnsiTheme="minorEastAsia" w:eastAsiaTheme="minorEastAsia"/>
          <w:b/>
          <w:bCs/>
          <w:color w:val="000000" w:themeColor="text1"/>
          <w:spacing w:val="52"/>
          <w:sz w:val="52"/>
          <w:szCs w:val="52"/>
          <w:lang w:val="en-US" w:eastAsia="zh-CN"/>
          <w14:textFill>
            <w14:solidFill>
              <w14:schemeClr w14:val="tx1"/>
            </w14:solidFill>
          </w14:textFill>
        </w:rPr>
      </w:pPr>
      <w:r>
        <w:rPr>
          <w:rFonts w:hint="eastAsia" w:cs="Times New Roman" w:asciiTheme="minorEastAsia" w:hAnsiTheme="minorEastAsia" w:eastAsiaTheme="minorEastAsia"/>
          <w:b/>
          <w:bCs/>
          <w:color w:val="000000" w:themeColor="text1"/>
          <w:spacing w:val="52"/>
          <w:sz w:val="52"/>
          <w:szCs w:val="52"/>
          <w14:textFill>
            <w14:solidFill>
              <w14:schemeClr w14:val="tx1"/>
            </w14:solidFill>
          </w14:textFill>
        </w:rPr>
        <w:t>重庆海联职业技术学院两江校区项目</w:t>
      </w:r>
      <w:r>
        <w:rPr>
          <w:rFonts w:hint="eastAsia" w:cs="Times New Roman" w:asciiTheme="minorEastAsia" w:hAnsiTheme="minorEastAsia" w:eastAsiaTheme="minorEastAsia"/>
          <w:b/>
          <w:bCs/>
          <w:color w:val="000000" w:themeColor="text1"/>
          <w:spacing w:val="52"/>
          <w:sz w:val="52"/>
          <w:szCs w:val="52"/>
          <w:lang w:eastAsia="zh-CN"/>
          <w14:textFill>
            <w14:solidFill>
              <w14:schemeClr w14:val="tx1"/>
            </w14:solidFill>
          </w14:textFill>
        </w:rPr>
        <w:t>（</w:t>
      </w:r>
      <w:r>
        <w:rPr>
          <w:rFonts w:hint="eastAsia" w:cs="Times New Roman" w:asciiTheme="minorEastAsia" w:hAnsiTheme="minorEastAsia" w:eastAsiaTheme="minorEastAsia"/>
          <w:b/>
          <w:bCs/>
          <w:color w:val="000000" w:themeColor="text1"/>
          <w:spacing w:val="52"/>
          <w:sz w:val="52"/>
          <w:szCs w:val="52"/>
          <w:lang w:val="en-US" w:eastAsia="zh-CN"/>
          <w14:textFill>
            <w14:solidFill>
              <w14:schemeClr w14:val="tx1"/>
            </w14:solidFill>
          </w14:textFill>
        </w:rPr>
        <w:t>二期）</w:t>
      </w:r>
    </w:p>
    <w:p w14:paraId="2B89B048">
      <w:pPr>
        <w:spacing w:line="1000" w:lineRule="exact"/>
        <w:ind w:left="8995" w:hanging="17529" w:hangingChars="2800"/>
        <w:jc w:val="center"/>
        <w:rPr>
          <w:rFonts w:hint="eastAsia" w:cs="Times New Roman" w:asciiTheme="minorEastAsia" w:hAnsiTheme="minorEastAsia" w:eastAsiaTheme="minorEastAsia"/>
          <w:b/>
          <w:bCs/>
          <w:color w:val="000000" w:themeColor="text1"/>
          <w:spacing w:val="52"/>
          <w:sz w:val="52"/>
          <w:szCs w:val="52"/>
          <w:lang w:val="en-US" w:eastAsia="zh-CN"/>
          <w14:textFill>
            <w14:solidFill>
              <w14:schemeClr w14:val="tx1"/>
            </w14:solidFill>
          </w14:textFill>
        </w:rPr>
      </w:pPr>
      <w:r>
        <w:rPr>
          <w:rFonts w:hint="eastAsia" w:cs="Times New Roman" w:asciiTheme="minorEastAsia" w:hAnsiTheme="minorEastAsia" w:eastAsiaTheme="minorEastAsia"/>
          <w:b/>
          <w:bCs/>
          <w:color w:val="000000" w:themeColor="text1"/>
          <w:spacing w:val="52"/>
          <w:sz w:val="52"/>
          <w:szCs w:val="52"/>
          <w:lang w:val="en-US" w:eastAsia="zh-CN"/>
          <w14:textFill>
            <w14:solidFill>
              <w14:schemeClr w14:val="tx1"/>
            </w14:solidFill>
          </w14:textFill>
        </w:rPr>
        <w:t>监理咨询服务</w:t>
      </w:r>
    </w:p>
    <w:p w14:paraId="5F07F0E1">
      <w:pPr>
        <w:spacing w:line="1000" w:lineRule="exact"/>
        <w:ind w:left="8995" w:hanging="8995" w:hangingChars="2800"/>
        <w:jc w:val="right"/>
        <w:rPr>
          <w:rFonts w:hint="default" w:asciiTheme="minorEastAsia" w:hAnsiTheme="minorEastAsia" w:eastAsiaTheme="minorEastAsia"/>
          <w:b/>
          <w:bCs/>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b/>
          <w:bCs/>
          <w:color w:val="000000" w:themeColor="text1"/>
          <w:sz w:val="32"/>
          <w:szCs w:val="32"/>
          <w14:textFill>
            <w14:solidFill>
              <w14:schemeClr w14:val="tx1"/>
            </w14:solidFill>
          </w14:textFill>
        </w:rPr>
        <w:t>类别:</w:t>
      </w:r>
      <w:r>
        <w:rPr>
          <w:rFonts w:hint="eastAsia" w:asciiTheme="minorEastAsia" w:hAnsiTheme="minorEastAsia" w:eastAsiaTheme="minorEastAsia"/>
          <w:b/>
          <w:bCs/>
          <w:color w:val="000000" w:themeColor="text1"/>
          <w:sz w:val="32"/>
          <w:szCs w:val="32"/>
          <w:lang w:val="en-US" w:eastAsia="zh-CN"/>
          <w14:textFill>
            <w14:solidFill>
              <w14:schemeClr w14:val="tx1"/>
            </w14:solidFill>
          </w14:textFill>
        </w:rPr>
        <w:t>咨询服务</w:t>
      </w:r>
    </w:p>
    <w:p w14:paraId="1E3C24E6">
      <w:pPr>
        <w:tabs>
          <w:tab w:val="left" w:pos="2977"/>
        </w:tabs>
        <w:spacing w:line="300" w:lineRule="auto"/>
        <w:ind w:left="1" w:firstLine="2"/>
        <w:rPr>
          <w:rFonts w:asciiTheme="minorEastAsia" w:hAnsiTheme="minorEastAsia" w:eastAsiaTheme="minorEastAsia"/>
          <w:color w:val="000000" w:themeColor="text1"/>
          <w:szCs w:val="21"/>
          <w:bdr w:val="single" w:color="auto" w:sz="4" w:space="0"/>
          <w:shd w:val="pct10" w:color="auto" w:fill="FFFFFF"/>
          <w14:textFill>
            <w14:solidFill>
              <w14:schemeClr w14:val="tx1"/>
            </w14:solidFill>
          </w14:textFill>
        </w:rPr>
      </w:pPr>
    </w:p>
    <w:p w14:paraId="166FA704">
      <w:pPr>
        <w:tabs>
          <w:tab w:val="left" w:pos="2977"/>
        </w:tabs>
        <w:spacing w:line="300" w:lineRule="auto"/>
        <w:ind w:left="1" w:firstLine="2"/>
        <w:rPr>
          <w:rFonts w:asciiTheme="minorEastAsia" w:hAnsiTheme="minorEastAsia" w:eastAsiaTheme="minorEastAsia"/>
          <w:color w:val="000000" w:themeColor="text1"/>
          <w:szCs w:val="21"/>
          <w:bdr w:val="single" w:color="auto" w:sz="4" w:space="0"/>
          <w:shd w:val="pct10" w:color="auto" w:fill="FFFFFF"/>
          <w14:textFill>
            <w14:solidFill>
              <w14:schemeClr w14:val="tx1"/>
            </w14:solidFill>
          </w14:textFill>
        </w:rPr>
      </w:pPr>
    </w:p>
    <w:p w14:paraId="4B29FDAA">
      <w:pPr>
        <w:tabs>
          <w:tab w:val="left" w:pos="2977"/>
        </w:tabs>
        <w:spacing w:line="300" w:lineRule="auto"/>
        <w:ind w:left="1" w:firstLine="2"/>
        <w:rPr>
          <w:rFonts w:asciiTheme="minorEastAsia" w:hAnsiTheme="minorEastAsia" w:eastAsiaTheme="minorEastAsia"/>
          <w:color w:val="000000" w:themeColor="text1"/>
          <w:szCs w:val="21"/>
          <w:bdr w:val="single" w:color="auto" w:sz="4" w:space="0"/>
          <w:shd w:val="pct10" w:color="auto" w:fill="FFFFFF"/>
          <w14:textFill>
            <w14:solidFill>
              <w14:schemeClr w14:val="tx1"/>
            </w14:solidFill>
          </w14:textFill>
        </w:rPr>
      </w:pPr>
    </w:p>
    <w:p w14:paraId="245779B1">
      <w:pPr>
        <w:ind w:firstLine="2"/>
        <w:rPr>
          <w:rFonts w:asciiTheme="minorEastAsia" w:hAnsiTheme="minorEastAsia" w:eastAsiaTheme="minorEastAsia"/>
          <w:b/>
          <w:bCs/>
          <w:color w:val="000000" w:themeColor="text1"/>
          <w:szCs w:val="21"/>
          <w14:textFill>
            <w14:solidFill>
              <w14:schemeClr w14:val="tx1"/>
            </w14:solidFill>
          </w14:textFill>
        </w:rPr>
      </w:pPr>
    </w:p>
    <w:p w14:paraId="629E3053">
      <w:pPr>
        <w:ind w:left="-1938" w:firstLine="2"/>
        <w:rPr>
          <w:rFonts w:asciiTheme="minorEastAsia" w:hAnsiTheme="minorEastAsia" w:eastAsiaTheme="minorEastAsia"/>
          <w:b/>
          <w:bCs/>
          <w:color w:val="000000" w:themeColor="text1"/>
          <w:szCs w:val="21"/>
          <w14:textFill>
            <w14:solidFill>
              <w14:schemeClr w14:val="tx1"/>
            </w14:solidFill>
          </w14:textFill>
        </w:rPr>
      </w:pPr>
    </w:p>
    <w:p w14:paraId="61A52AAA">
      <w:pPr>
        <w:jc w:val="center"/>
        <w:rPr>
          <w:rFonts w:asciiTheme="minorEastAsia" w:hAnsiTheme="minorEastAsia" w:eastAsiaTheme="minorEastAsia"/>
          <w:b/>
          <w:bCs/>
          <w:color w:val="000000" w:themeColor="text1"/>
          <w:spacing w:val="52"/>
          <w:sz w:val="96"/>
          <w:szCs w:val="96"/>
          <w14:textFill>
            <w14:solidFill>
              <w14:schemeClr w14:val="tx1"/>
            </w14:solidFill>
          </w14:textFill>
        </w:rPr>
      </w:pPr>
      <w:r>
        <w:rPr>
          <w:rFonts w:hint="eastAsia" w:asciiTheme="minorEastAsia" w:hAnsiTheme="minorEastAsia" w:eastAsiaTheme="minorEastAsia"/>
          <w:b/>
          <w:bCs/>
          <w:color w:val="000000" w:themeColor="text1"/>
          <w:spacing w:val="52"/>
          <w:sz w:val="96"/>
          <w:szCs w:val="96"/>
          <w14:textFill>
            <w14:solidFill>
              <w14:schemeClr w14:val="tx1"/>
            </w14:solidFill>
          </w14:textFill>
        </w:rPr>
        <w:t>招标文件</w:t>
      </w:r>
    </w:p>
    <w:p w14:paraId="1F0EDC0E">
      <w:pPr>
        <w:jc w:val="center"/>
        <w:rPr>
          <w:rFonts w:eastAsiaTheme="minorEastAsia"/>
          <w:sz w:val="36"/>
          <w:szCs w:val="36"/>
        </w:rPr>
      </w:pPr>
      <w:r>
        <w:rPr>
          <w:rFonts w:eastAsiaTheme="minorEastAsia"/>
          <w:sz w:val="36"/>
          <w:szCs w:val="36"/>
        </w:rPr>
        <w:t>ZHAO BIAO WEN JIAN</w:t>
      </w:r>
    </w:p>
    <w:p w14:paraId="26FCA326">
      <w:pPr>
        <w:ind w:left="540" w:leftChars="257"/>
        <w:rPr>
          <w:rFonts w:asciiTheme="minorEastAsia" w:hAnsiTheme="minorEastAsia" w:eastAsiaTheme="minorEastAsia"/>
          <w:b/>
          <w:bCs/>
          <w:color w:val="000000" w:themeColor="text1"/>
          <w:szCs w:val="21"/>
          <w14:textFill>
            <w14:solidFill>
              <w14:schemeClr w14:val="tx1"/>
            </w14:solidFill>
          </w14:textFill>
        </w:rPr>
      </w:pPr>
    </w:p>
    <w:p w14:paraId="3215FBC0">
      <w:pPr>
        <w:ind w:left="540" w:leftChars="257"/>
        <w:rPr>
          <w:rFonts w:asciiTheme="minorEastAsia" w:hAnsiTheme="minorEastAsia" w:eastAsiaTheme="minorEastAsia"/>
          <w:b/>
          <w:bCs/>
          <w:color w:val="000000" w:themeColor="text1"/>
          <w:szCs w:val="21"/>
          <w14:textFill>
            <w14:solidFill>
              <w14:schemeClr w14:val="tx1"/>
            </w14:solidFill>
          </w14:textFill>
        </w:rPr>
      </w:pPr>
    </w:p>
    <w:p w14:paraId="19E92377">
      <w:pPr>
        <w:ind w:left="540" w:leftChars="257"/>
        <w:rPr>
          <w:rFonts w:asciiTheme="minorEastAsia" w:hAnsiTheme="minorEastAsia" w:eastAsiaTheme="minorEastAsia"/>
          <w:b/>
          <w:bCs/>
          <w:color w:val="000000" w:themeColor="text1"/>
          <w:szCs w:val="21"/>
          <w14:textFill>
            <w14:solidFill>
              <w14:schemeClr w14:val="tx1"/>
            </w14:solidFill>
          </w14:textFill>
        </w:rPr>
      </w:pPr>
    </w:p>
    <w:p w14:paraId="43BBDC44">
      <w:pPr>
        <w:ind w:left="540" w:leftChars="257"/>
        <w:rPr>
          <w:rFonts w:asciiTheme="minorEastAsia" w:hAnsiTheme="minorEastAsia" w:eastAsiaTheme="minorEastAsia"/>
          <w:b/>
          <w:bCs/>
          <w:color w:val="000000" w:themeColor="text1"/>
          <w:szCs w:val="21"/>
          <w14:textFill>
            <w14:solidFill>
              <w14:schemeClr w14:val="tx1"/>
            </w14:solidFill>
          </w14:textFill>
        </w:rPr>
      </w:pPr>
    </w:p>
    <w:p w14:paraId="79AD7709">
      <w:pPr>
        <w:ind w:left="540" w:leftChars="257"/>
        <w:rPr>
          <w:rFonts w:asciiTheme="minorEastAsia" w:hAnsiTheme="minorEastAsia" w:eastAsiaTheme="minorEastAsia"/>
          <w:b/>
          <w:bCs/>
          <w:color w:val="000000" w:themeColor="text1"/>
          <w:szCs w:val="21"/>
          <w14:textFill>
            <w14:solidFill>
              <w14:schemeClr w14:val="tx1"/>
            </w14:solidFill>
          </w14:textFill>
        </w:rPr>
      </w:pPr>
    </w:p>
    <w:p w14:paraId="3B62550C">
      <w:pPr>
        <w:ind w:left="540" w:leftChars="257"/>
        <w:rPr>
          <w:rFonts w:asciiTheme="minorEastAsia" w:hAnsiTheme="minorEastAsia" w:eastAsiaTheme="minorEastAsia"/>
          <w:b/>
          <w:bCs/>
          <w:color w:val="000000" w:themeColor="text1"/>
          <w:szCs w:val="21"/>
          <w14:textFill>
            <w14:solidFill>
              <w14:schemeClr w14:val="tx1"/>
            </w14:solidFill>
          </w14:textFill>
        </w:rPr>
      </w:pPr>
    </w:p>
    <w:p w14:paraId="63747631">
      <w:pPr>
        <w:rPr>
          <w:rFonts w:asciiTheme="minorEastAsia" w:hAnsiTheme="minorEastAsia" w:eastAsiaTheme="minorEastAsia"/>
          <w:b/>
          <w:bCs/>
          <w:color w:val="000000" w:themeColor="text1"/>
          <w:szCs w:val="21"/>
          <w14:textFill>
            <w14:solidFill>
              <w14:schemeClr w14:val="tx1"/>
            </w14:solidFill>
          </w14:textFill>
        </w:rPr>
      </w:pPr>
    </w:p>
    <w:p w14:paraId="5FDA6DB8">
      <w:pPr>
        <w:ind w:left="540" w:leftChars="257"/>
        <w:rPr>
          <w:rFonts w:asciiTheme="minorEastAsia" w:hAnsiTheme="minorEastAsia" w:eastAsiaTheme="minorEastAsia"/>
          <w:b/>
          <w:bCs/>
          <w:color w:val="000000" w:themeColor="text1"/>
          <w:szCs w:val="21"/>
          <w14:textFill>
            <w14:solidFill>
              <w14:schemeClr w14:val="tx1"/>
            </w14:solidFill>
          </w14:textFill>
        </w:rPr>
      </w:pPr>
    </w:p>
    <w:p w14:paraId="20B22CE7">
      <w:pPr>
        <w:ind w:left="540" w:leftChars="257"/>
        <w:rPr>
          <w:rFonts w:asciiTheme="minorEastAsia" w:hAnsiTheme="minorEastAsia" w:eastAsiaTheme="minorEastAsia"/>
          <w:b/>
          <w:bCs/>
          <w:color w:val="000000" w:themeColor="text1"/>
          <w:szCs w:val="21"/>
          <w14:textFill>
            <w14:solidFill>
              <w14:schemeClr w14:val="tx1"/>
            </w14:solidFill>
          </w14:textFill>
        </w:rPr>
      </w:pPr>
    </w:p>
    <w:p w14:paraId="2E9F0A06">
      <w:pPr>
        <w:ind w:left="540" w:leftChars="257"/>
        <w:rPr>
          <w:rFonts w:asciiTheme="minorEastAsia" w:hAnsiTheme="minorEastAsia" w:eastAsiaTheme="minorEastAsia"/>
          <w:b/>
          <w:bCs/>
          <w:color w:val="000000" w:themeColor="text1"/>
          <w:szCs w:val="21"/>
          <w14:textFill>
            <w14:solidFill>
              <w14:schemeClr w14:val="tx1"/>
            </w14:solidFill>
          </w14:textFill>
        </w:rPr>
      </w:pPr>
    </w:p>
    <w:p w14:paraId="1518C999">
      <w:pPr>
        <w:ind w:left="540" w:leftChars="257"/>
        <w:rPr>
          <w:rFonts w:asciiTheme="minorEastAsia" w:hAnsiTheme="minorEastAsia" w:eastAsiaTheme="minorEastAsia"/>
          <w:b/>
          <w:bCs/>
          <w:color w:val="000000" w:themeColor="text1"/>
          <w:szCs w:val="21"/>
          <w14:textFill>
            <w14:solidFill>
              <w14:schemeClr w14:val="tx1"/>
            </w14:solidFill>
          </w14:textFill>
        </w:rPr>
      </w:pPr>
    </w:p>
    <w:p w14:paraId="171D7F7D">
      <w:pPr>
        <w:ind w:left="540" w:leftChars="257"/>
        <w:rPr>
          <w:rFonts w:asciiTheme="minorEastAsia" w:hAnsiTheme="minorEastAsia" w:eastAsiaTheme="minorEastAsia"/>
          <w:b/>
          <w:bCs/>
          <w:color w:val="000000" w:themeColor="text1"/>
          <w:szCs w:val="21"/>
          <w14:textFill>
            <w14:solidFill>
              <w14:schemeClr w14:val="tx1"/>
            </w14:solidFill>
          </w14:textFill>
        </w:rPr>
      </w:pPr>
    </w:p>
    <w:p w14:paraId="501F86DD">
      <w:pPr>
        <w:ind w:left="540" w:leftChars="257"/>
        <w:rPr>
          <w:rFonts w:asciiTheme="minorEastAsia" w:hAnsiTheme="minorEastAsia" w:eastAsiaTheme="minorEastAsia"/>
          <w:b/>
          <w:bCs/>
          <w:color w:val="000000" w:themeColor="text1"/>
          <w:szCs w:val="21"/>
          <w14:textFill>
            <w14:solidFill>
              <w14:schemeClr w14:val="tx1"/>
            </w14:solidFill>
          </w14:textFill>
        </w:rPr>
      </w:pPr>
    </w:p>
    <w:p w14:paraId="6D10ED2B">
      <w:pPr>
        <w:ind w:left="540" w:leftChars="257"/>
        <w:rPr>
          <w:rFonts w:asciiTheme="minorEastAsia" w:hAnsiTheme="minorEastAsia" w:eastAsiaTheme="minorEastAsia"/>
          <w:b/>
          <w:bCs/>
          <w:color w:val="000000" w:themeColor="text1"/>
          <w:szCs w:val="21"/>
          <w14:textFill>
            <w14:solidFill>
              <w14:schemeClr w14:val="tx1"/>
            </w14:solidFill>
          </w14:textFill>
        </w:rPr>
      </w:pPr>
    </w:p>
    <w:p w14:paraId="3DA30FDB">
      <w:pPr>
        <w:spacing w:line="300" w:lineRule="auto"/>
        <w:jc w:val="center"/>
        <w:rPr>
          <w:rFonts w:ascii="宋体" w:hAnsi="宋体"/>
          <w:bCs/>
          <w:color w:val="000000" w:themeColor="text1"/>
          <w:sz w:val="30"/>
          <w:szCs w:val="30"/>
          <w:highlight w:val="none"/>
          <w14:textFill>
            <w14:solidFill>
              <w14:schemeClr w14:val="tx1"/>
            </w14:solidFill>
          </w14:textFill>
        </w:rPr>
      </w:pPr>
      <w:r>
        <w:rPr>
          <w:rFonts w:hint="eastAsia" w:ascii="宋体" w:hAnsi="宋体"/>
          <w:bCs/>
          <w:color w:val="000000" w:themeColor="text1"/>
          <w:sz w:val="30"/>
          <w:szCs w:val="30"/>
          <w:highlight w:val="none"/>
          <w14:textFill>
            <w14:solidFill>
              <w14:schemeClr w14:val="tx1"/>
            </w14:solidFill>
          </w14:textFill>
        </w:rPr>
        <w:t>招标人：</w:t>
      </w:r>
      <w:r>
        <w:rPr>
          <w:rFonts w:hint="eastAsia" w:ascii="宋体" w:hAnsi="宋体"/>
          <w:bCs/>
          <w:color w:val="000000" w:themeColor="text1"/>
          <w:sz w:val="30"/>
          <w:szCs w:val="30"/>
          <w:highlight w:val="none"/>
          <w:lang w:val="en-US" w:eastAsia="zh-CN"/>
          <w14:textFill>
            <w14:solidFill>
              <w14:schemeClr w14:val="tx1"/>
            </w14:solidFill>
          </w14:textFill>
        </w:rPr>
        <w:t>重庆海联职业技术学院</w:t>
      </w:r>
    </w:p>
    <w:p w14:paraId="7308F829">
      <w:pPr>
        <w:spacing w:line="300" w:lineRule="auto"/>
        <w:jc w:val="center"/>
        <w:rPr>
          <w:rFonts w:ascii="宋体" w:hAnsi="宋体"/>
          <w:bCs/>
          <w:color w:val="000000" w:themeColor="text1"/>
          <w:sz w:val="30"/>
          <w:szCs w:val="30"/>
          <w:highlight w:val="none"/>
          <w14:textFill>
            <w14:solidFill>
              <w14:schemeClr w14:val="tx1"/>
            </w14:solidFill>
          </w14:textFill>
        </w:rPr>
      </w:pPr>
      <w:r>
        <w:rPr>
          <w:rFonts w:hint="eastAsia" w:ascii="宋体" w:hAnsi="宋体"/>
          <w:bCs/>
          <w:color w:val="000000" w:themeColor="text1"/>
          <w:sz w:val="30"/>
          <w:szCs w:val="30"/>
          <w:highlight w:val="none"/>
          <w14:textFill>
            <w14:solidFill>
              <w14:schemeClr w14:val="tx1"/>
            </w14:solidFill>
          </w14:textFill>
        </w:rPr>
        <w:t>二</w:t>
      </w:r>
      <w:r>
        <w:rPr>
          <w:rFonts w:hint="eastAsia" w:ascii="宋体" w:hAnsi="宋体"/>
          <w:color w:val="000000" w:themeColor="text1"/>
          <w:sz w:val="30"/>
          <w:szCs w:val="30"/>
          <w:highlight w:val="none"/>
          <w14:textFill>
            <w14:solidFill>
              <w14:schemeClr w14:val="tx1"/>
            </w14:solidFill>
          </w14:textFill>
        </w:rPr>
        <w:t>〇</w:t>
      </w:r>
      <w:r>
        <w:rPr>
          <w:rFonts w:hint="eastAsia" w:ascii="宋体" w:hAnsi="宋体"/>
          <w:color w:val="000000" w:themeColor="text1"/>
          <w:sz w:val="30"/>
          <w:szCs w:val="30"/>
          <w:highlight w:val="none"/>
          <w:lang w:val="en-US" w:eastAsia="zh-CN"/>
          <w14:textFill>
            <w14:solidFill>
              <w14:schemeClr w14:val="tx1"/>
            </w14:solidFill>
          </w14:textFill>
        </w:rPr>
        <w:t>二</w:t>
      </w:r>
      <w:r>
        <w:rPr>
          <w:rFonts w:hint="eastAsia" w:ascii="宋体" w:hAnsi="宋体"/>
          <w:bCs/>
          <w:color w:val="000000" w:themeColor="text1"/>
          <w:sz w:val="30"/>
          <w:szCs w:val="30"/>
          <w:highlight w:val="none"/>
          <w14:textFill>
            <w14:solidFill>
              <w14:schemeClr w14:val="tx1"/>
            </w14:solidFill>
          </w14:textFill>
        </w:rPr>
        <w:t>四年</w:t>
      </w:r>
      <w:r>
        <w:rPr>
          <w:rFonts w:hint="eastAsia" w:ascii="宋体" w:hAnsi="宋体"/>
          <w:bCs/>
          <w:color w:val="000000" w:themeColor="text1"/>
          <w:sz w:val="30"/>
          <w:szCs w:val="30"/>
          <w:highlight w:val="none"/>
          <w:lang w:val="en-US" w:eastAsia="zh-CN"/>
          <w14:textFill>
            <w14:solidFill>
              <w14:schemeClr w14:val="tx1"/>
            </w14:solidFill>
          </w14:textFill>
        </w:rPr>
        <w:t>十一</w:t>
      </w:r>
      <w:r>
        <w:rPr>
          <w:rFonts w:hint="eastAsia" w:ascii="宋体" w:hAnsi="宋体"/>
          <w:bCs/>
          <w:color w:val="000000" w:themeColor="text1"/>
          <w:sz w:val="30"/>
          <w:szCs w:val="30"/>
          <w:highlight w:val="none"/>
          <w14:textFill>
            <w14:solidFill>
              <w14:schemeClr w14:val="tx1"/>
            </w14:solidFill>
          </w14:textFill>
        </w:rPr>
        <w:t>月</w:t>
      </w:r>
      <w:r>
        <w:rPr>
          <w:rFonts w:hint="eastAsia" w:ascii="宋体" w:hAnsi="宋体"/>
          <w:bCs/>
          <w:color w:val="000000" w:themeColor="text1"/>
          <w:sz w:val="30"/>
          <w:szCs w:val="30"/>
          <w:highlight w:val="none"/>
          <w:lang w:val="en-US" w:eastAsia="zh-CN"/>
          <w14:textFill>
            <w14:solidFill>
              <w14:schemeClr w14:val="tx1"/>
            </w14:solidFill>
          </w14:textFill>
        </w:rPr>
        <w:t xml:space="preserve">   </w:t>
      </w:r>
      <w:r>
        <w:rPr>
          <w:rFonts w:hint="eastAsia" w:ascii="宋体" w:hAnsi="宋体"/>
          <w:bCs/>
          <w:color w:val="000000" w:themeColor="text1"/>
          <w:sz w:val="30"/>
          <w:szCs w:val="30"/>
          <w:highlight w:val="none"/>
          <w14:textFill>
            <w14:solidFill>
              <w14:schemeClr w14:val="tx1"/>
            </w14:solidFill>
          </w14:textFill>
        </w:rPr>
        <w:t>日</w:t>
      </w:r>
    </w:p>
    <w:p w14:paraId="4399667A">
      <w:pPr>
        <w:jc w:val="center"/>
        <w:rPr>
          <w:rFonts w:hint="eastAsia" w:ascii="宋体" w:hAnsi="宋体"/>
          <w:b/>
          <w:color w:val="000000" w:themeColor="text1"/>
          <w:sz w:val="32"/>
          <w:szCs w:val="32"/>
          <w14:textFill>
            <w14:solidFill>
              <w14:schemeClr w14:val="tx1"/>
            </w14:solidFill>
          </w14:textFill>
        </w:rPr>
        <w:sectPr>
          <w:headerReference r:id="rId4" w:type="first"/>
          <w:footerReference r:id="rId6" w:type="first"/>
          <w:headerReference r:id="rId3" w:type="default"/>
          <w:footerReference r:id="rId5" w:type="default"/>
          <w:pgSz w:w="11906" w:h="16838"/>
          <w:pgMar w:top="1134" w:right="1134" w:bottom="1134" w:left="1418" w:header="567" w:footer="567" w:gutter="0"/>
          <w:pgNumType w:fmt="decimal"/>
          <w:cols w:space="425" w:num="1"/>
          <w:docGrid w:linePitch="312" w:charSpace="0"/>
        </w:sectPr>
      </w:pPr>
    </w:p>
    <w:p w14:paraId="46B67B29">
      <w:pPr>
        <w:tabs>
          <w:tab w:val="center" w:pos="4708"/>
          <w:tab w:val="left" w:pos="6343"/>
        </w:tabs>
        <w:spacing w:line="360" w:lineRule="auto"/>
        <w:jc w:val="left"/>
        <w:rPr>
          <w:rFonts w:hint="eastAsia" w:asciiTheme="minorEastAsia" w:hAnsiTheme="minorEastAsia" w:eastAsiaTheme="minorEastAsia"/>
          <w:b/>
          <w:sz w:val="32"/>
          <w:szCs w:val="32"/>
          <w:lang w:eastAsia="zh-CN"/>
        </w:rPr>
      </w:pPr>
      <w:r>
        <w:rPr>
          <w:rFonts w:hint="eastAsia" w:asciiTheme="minorEastAsia" w:hAnsiTheme="minorEastAsia" w:eastAsiaTheme="minorEastAsia"/>
          <w:b/>
          <w:sz w:val="32"/>
          <w:szCs w:val="32"/>
          <w:lang w:eastAsia="zh-CN"/>
        </w:rPr>
        <w:tab/>
      </w:r>
      <w:r>
        <w:rPr>
          <w:rFonts w:hint="eastAsia" w:asciiTheme="minorEastAsia" w:hAnsiTheme="minorEastAsia" w:eastAsiaTheme="minorEastAsia"/>
          <w:b/>
          <w:sz w:val="32"/>
          <w:szCs w:val="32"/>
        </w:rPr>
        <w:t>目录</w:t>
      </w:r>
      <w:r>
        <w:rPr>
          <w:rFonts w:hint="eastAsia" w:asciiTheme="minorEastAsia" w:hAnsiTheme="minorEastAsia" w:eastAsiaTheme="minorEastAsia"/>
          <w:b/>
          <w:sz w:val="32"/>
          <w:szCs w:val="32"/>
          <w:lang w:eastAsia="zh-CN"/>
        </w:rPr>
        <w:tab/>
      </w:r>
    </w:p>
    <w:p w14:paraId="4BF8490B">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"1-6" \h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_Toc720 </w:instrText>
      </w:r>
      <w:r>
        <w:rPr>
          <w:rFonts w:hint="eastAsia" w:ascii="宋体" w:hAnsi="宋体" w:eastAsia="宋体" w:cs="宋体"/>
          <w:sz w:val="24"/>
          <w:szCs w:val="24"/>
        </w:rPr>
        <w:fldChar w:fldCharType="separate"/>
      </w:r>
      <w:r>
        <w:rPr>
          <w:rFonts w:hint="eastAsia" w:ascii="宋体" w:hAnsi="宋体" w:eastAsia="宋体" w:cs="宋体"/>
          <w:sz w:val="24"/>
          <w:szCs w:val="24"/>
        </w:rPr>
        <w:t>第一部分    投标人须知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_Toc720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DA2054C">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_Toc13227 </w:instrText>
      </w:r>
      <w:r>
        <w:rPr>
          <w:rFonts w:hint="eastAsia" w:ascii="宋体" w:hAnsi="宋体" w:eastAsia="宋体" w:cs="宋体"/>
          <w:sz w:val="24"/>
          <w:szCs w:val="24"/>
        </w:rPr>
        <w:fldChar w:fldCharType="separate"/>
      </w:r>
      <w:r>
        <w:rPr>
          <w:rFonts w:hint="eastAsia" w:ascii="宋体" w:hAnsi="宋体" w:eastAsia="宋体" w:cs="宋体"/>
          <w:sz w:val="24"/>
          <w:szCs w:val="24"/>
        </w:rPr>
        <w:t>前附表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_Toc13227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12A200A">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_Toc22872 </w:instrText>
      </w:r>
      <w:r>
        <w:rPr>
          <w:rFonts w:hint="eastAsia" w:ascii="宋体" w:hAnsi="宋体" w:eastAsia="宋体" w:cs="宋体"/>
          <w:sz w:val="24"/>
          <w:szCs w:val="24"/>
        </w:rPr>
        <w:fldChar w:fldCharType="separate"/>
      </w:r>
      <w:r>
        <w:rPr>
          <w:rFonts w:hint="eastAsia" w:ascii="宋体" w:hAnsi="宋体" w:eastAsia="宋体" w:cs="宋体"/>
          <w:sz w:val="24"/>
          <w:szCs w:val="24"/>
        </w:rPr>
        <w:t>第一章 投标人须知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_Toc22872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4186889">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_Toc841 </w:instrText>
      </w:r>
      <w:r>
        <w:rPr>
          <w:rFonts w:hint="eastAsia" w:ascii="宋体" w:hAnsi="宋体" w:eastAsia="宋体" w:cs="宋体"/>
          <w:sz w:val="24"/>
          <w:szCs w:val="24"/>
        </w:rPr>
        <w:fldChar w:fldCharType="separate"/>
      </w:r>
      <w:r>
        <w:rPr>
          <w:rFonts w:hint="eastAsia" w:ascii="宋体" w:hAnsi="宋体" w:eastAsia="宋体" w:cs="宋体"/>
          <w:sz w:val="24"/>
          <w:szCs w:val="24"/>
        </w:rPr>
        <w:t>一、总  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_Toc841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2D7F11F">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_Toc10620 </w:instrText>
      </w:r>
      <w:r>
        <w:rPr>
          <w:rFonts w:hint="eastAsia" w:ascii="宋体" w:hAnsi="宋体" w:eastAsia="宋体" w:cs="宋体"/>
          <w:sz w:val="24"/>
          <w:szCs w:val="24"/>
        </w:rPr>
        <w:fldChar w:fldCharType="separate"/>
      </w:r>
      <w:r>
        <w:rPr>
          <w:rFonts w:hint="eastAsia" w:ascii="宋体" w:hAnsi="宋体" w:eastAsia="宋体" w:cs="宋体"/>
          <w:sz w:val="24"/>
          <w:szCs w:val="24"/>
        </w:rPr>
        <w:t>二、招标文件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_Toc10620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BE8E266">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_Toc11264 </w:instrText>
      </w:r>
      <w:r>
        <w:rPr>
          <w:rFonts w:hint="eastAsia" w:ascii="宋体" w:hAnsi="宋体" w:eastAsia="宋体" w:cs="宋体"/>
          <w:sz w:val="24"/>
          <w:szCs w:val="24"/>
        </w:rPr>
        <w:fldChar w:fldCharType="separate"/>
      </w:r>
      <w:r>
        <w:rPr>
          <w:rFonts w:hint="eastAsia" w:ascii="宋体" w:hAnsi="宋体" w:eastAsia="宋体" w:cs="宋体"/>
          <w:sz w:val="24"/>
          <w:szCs w:val="24"/>
        </w:rPr>
        <w:t>三、投标文件的编制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_Toc11264 \h </w:instrText>
      </w:r>
      <w:r>
        <w:rPr>
          <w:rFonts w:hint="eastAsia" w:ascii="宋体" w:hAnsi="宋体" w:eastAsia="宋体" w:cs="宋体"/>
          <w:sz w:val="24"/>
          <w:szCs w:val="24"/>
        </w:rPr>
        <w:fldChar w:fldCharType="separate"/>
      </w:r>
      <w:r>
        <w:rPr>
          <w:rFonts w:hint="eastAsia" w:ascii="宋体" w:hAnsi="宋体" w:eastAsia="宋体" w:cs="宋体"/>
          <w:sz w:val="24"/>
          <w:szCs w:val="24"/>
        </w:rPr>
        <w:t>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92D19F9">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_Toc24973 </w:instrText>
      </w:r>
      <w:r>
        <w:rPr>
          <w:rFonts w:hint="eastAsia" w:ascii="宋体" w:hAnsi="宋体" w:eastAsia="宋体" w:cs="宋体"/>
          <w:sz w:val="24"/>
          <w:szCs w:val="24"/>
        </w:rPr>
        <w:fldChar w:fldCharType="separate"/>
      </w:r>
      <w:r>
        <w:rPr>
          <w:rFonts w:hint="eastAsia" w:ascii="宋体" w:hAnsi="宋体" w:eastAsia="宋体" w:cs="宋体"/>
          <w:sz w:val="24"/>
          <w:szCs w:val="24"/>
        </w:rPr>
        <w:t>四、投标文件的递交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_Toc24973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3750D08">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_Toc29767 </w:instrText>
      </w:r>
      <w:r>
        <w:rPr>
          <w:rFonts w:hint="eastAsia" w:ascii="宋体" w:hAnsi="宋体" w:eastAsia="宋体" w:cs="宋体"/>
          <w:sz w:val="24"/>
          <w:szCs w:val="24"/>
        </w:rPr>
        <w:fldChar w:fldCharType="separate"/>
      </w:r>
      <w:r>
        <w:rPr>
          <w:rFonts w:hint="eastAsia" w:ascii="宋体" w:hAnsi="宋体" w:eastAsia="宋体" w:cs="宋体"/>
          <w:sz w:val="24"/>
          <w:szCs w:val="24"/>
        </w:rPr>
        <w:t>五、开标、评标和定标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_Toc29767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D560EEC">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_Toc8683 </w:instrText>
      </w:r>
      <w:r>
        <w:rPr>
          <w:rFonts w:hint="eastAsia" w:ascii="宋体" w:hAnsi="宋体" w:eastAsia="宋体" w:cs="宋体"/>
          <w:sz w:val="24"/>
          <w:szCs w:val="24"/>
        </w:rPr>
        <w:fldChar w:fldCharType="separate"/>
      </w:r>
      <w:r>
        <w:rPr>
          <w:rFonts w:hint="eastAsia" w:ascii="宋体" w:hAnsi="宋体" w:eastAsia="宋体" w:cs="宋体"/>
          <w:sz w:val="24"/>
          <w:szCs w:val="24"/>
        </w:rPr>
        <w:t>六、合同的授予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_Toc8683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BE1F99A">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_Toc10166 </w:instrText>
      </w:r>
      <w:r>
        <w:rPr>
          <w:rFonts w:hint="eastAsia" w:ascii="宋体" w:hAnsi="宋体" w:eastAsia="宋体" w:cs="宋体"/>
          <w:sz w:val="24"/>
          <w:szCs w:val="24"/>
        </w:rPr>
        <w:fldChar w:fldCharType="separate"/>
      </w:r>
      <w:r>
        <w:rPr>
          <w:rFonts w:hint="eastAsia" w:ascii="宋体" w:hAnsi="宋体" w:eastAsia="宋体" w:cs="宋体"/>
          <w:sz w:val="24"/>
          <w:szCs w:val="24"/>
        </w:rPr>
        <w:t>第二章 投标文件格式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_Toc10166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D6602B8">
      <w:pPr>
        <w:pStyle w:val="29"/>
        <w:tabs>
          <w:tab w:val="right" w:leader="dot" w:pos="9298"/>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_Toc27034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一、投标函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_Toc27034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0C180FF">
      <w:pPr>
        <w:pStyle w:val="29"/>
        <w:tabs>
          <w:tab w:val="right" w:leader="dot" w:pos="9298"/>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_Toc27600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二、法定代表人身份证明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_Toc27600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88E8BDA">
      <w:pPr>
        <w:pStyle w:val="19"/>
        <w:tabs>
          <w:tab w:val="right" w:leader="dot" w:pos="9298"/>
          <w:tab w:val="clear" w:pos="142"/>
          <w:tab w:val="clear" w:pos="735"/>
          <w:tab w:val="clear" w:pos="9072"/>
        </w:tabs>
        <w:spacing w:line="360" w:lineRule="auto"/>
        <w:ind w:firstLine="1200" w:firstLineChars="500"/>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_Toc2170 </w:instrText>
      </w:r>
      <w:r>
        <w:rPr>
          <w:rFonts w:hint="eastAsia" w:ascii="宋体" w:hAnsi="宋体" w:eastAsia="宋体" w:cs="宋体"/>
          <w:sz w:val="24"/>
          <w:szCs w:val="24"/>
        </w:rPr>
        <w:fldChar w:fldCharType="separate"/>
      </w:r>
      <w:r>
        <w:rPr>
          <w:rFonts w:hint="eastAsia" w:ascii="宋体" w:hAnsi="宋体" w:eastAsia="宋体" w:cs="宋体"/>
          <w:kern w:val="0"/>
          <w:sz w:val="24"/>
          <w:szCs w:val="24"/>
          <w:lang w:eastAsia="zh-CN"/>
        </w:rPr>
        <w:t>三</w:t>
      </w:r>
      <w:r>
        <w:rPr>
          <w:rFonts w:hint="eastAsia" w:ascii="宋体" w:hAnsi="宋体" w:eastAsia="宋体" w:cs="宋体"/>
          <w:kern w:val="0"/>
          <w:sz w:val="24"/>
          <w:szCs w:val="24"/>
        </w:rPr>
        <w:t>、法定代表人授权委托书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_Toc2170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1300399">
      <w:pPr>
        <w:pStyle w:val="29"/>
        <w:tabs>
          <w:tab w:val="right" w:leader="dot" w:pos="9298"/>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_Toc6094 </w:instrText>
      </w:r>
      <w:r>
        <w:rPr>
          <w:rFonts w:hint="eastAsia" w:ascii="宋体" w:hAnsi="宋体" w:eastAsia="宋体" w:cs="宋体"/>
          <w:sz w:val="24"/>
          <w:szCs w:val="24"/>
        </w:rPr>
        <w:fldChar w:fldCharType="separate"/>
      </w:r>
      <w:r>
        <w:rPr>
          <w:rFonts w:hint="eastAsia" w:ascii="宋体" w:hAnsi="宋体" w:eastAsia="宋体" w:cs="宋体"/>
          <w:sz w:val="24"/>
          <w:szCs w:val="24"/>
        </w:rPr>
        <w:t>四、投标人基本情况表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_Toc6094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45A226C">
      <w:pPr>
        <w:pStyle w:val="29"/>
        <w:tabs>
          <w:tab w:val="right" w:leader="dot" w:pos="9298"/>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_Toc4111 </w:instrText>
      </w:r>
      <w:r>
        <w:rPr>
          <w:rFonts w:hint="eastAsia" w:ascii="宋体" w:hAnsi="宋体" w:eastAsia="宋体" w:cs="宋体"/>
          <w:sz w:val="24"/>
          <w:szCs w:val="24"/>
        </w:rPr>
        <w:fldChar w:fldCharType="separate"/>
      </w:r>
      <w:r>
        <w:rPr>
          <w:rFonts w:hint="eastAsia" w:ascii="宋体" w:hAnsi="宋体" w:eastAsia="宋体" w:cs="宋体"/>
          <w:sz w:val="24"/>
          <w:szCs w:val="24"/>
        </w:rPr>
        <w:t>五、拟派项目主要</w:t>
      </w:r>
      <w:r>
        <w:rPr>
          <w:rFonts w:hint="eastAsia" w:ascii="宋体" w:hAnsi="宋体" w:eastAsia="宋体" w:cs="宋体"/>
          <w:sz w:val="24"/>
          <w:szCs w:val="24"/>
          <w:lang w:val="en-US" w:eastAsia="zh-CN"/>
        </w:rPr>
        <w:t>监理</w:t>
      </w:r>
      <w:r>
        <w:rPr>
          <w:rFonts w:hint="eastAsia" w:ascii="宋体" w:hAnsi="宋体" w:eastAsia="宋体" w:cs="宋体"/>
          <w:sz w:val="24"/>
          <w:szCs w:val="24"/>
        </w:rPr>
        <w:t>人员汇总表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_Toc4111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1BF22F5">
      <w:pPr>
        <w:pStyle w:val="29"/>
        <w:tabs>
          <w:tab w:val="right" w:leader="dot" w:pos="9298"/>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_Toc18166 </w:instrText>
      </w:r>
      <w:r>
        <w:rPr>
          <w:rFonts w:hint="eastAsia" w:ascii="宋体" w:hAnsi="宋体" w:eastAsia="宋体" w:cs="宋体"/>
          <w:sz w:val="24"/>
          <w:szCs w:val="24"/>
        </w:rPr>
        <w:fldChar w:fldCharType="separate"/>
      </w:r>
      <w:r>
        <w:rPr>
          <w:rFonts w:hint="eastAsia" w:ascii="宋体" w:hAnsi="宋体" w:eastAsia="宋体" w:cs="宋体"/>
          <w:sz w:val="24"/>
          <w:szCs w:val="24"/>
        </w:rPr>
        <w:t>六、拟派项目造价人员简历表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_Toc18166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9B688BA">
      <w:pPr>
        <w:pStyle w:val="29"/>
        <w:tabs>
          <w:tab w:val="right" w:leader="dot" w:pos="9298"/>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_Toc27112 </w:instrText>
      </w:r>
      <w:r>
        <w:rPr>
          <w:rFonts w:hint="eastAsia" w:ascii="宋体" w:hAnsi="宋体" w:eastAsia="宋体" w:cs="宋体"/>
          <w:sz w:val="24"/>
          <w:szCs w:val="24"/>
        </w:rPr>
        <w:fldChar w:fldCharType="separate"/>
      </w:r>
      <w:r>
        <w:rPr>
          <w:rFonts w:hint="eastAsia" w:ascii="宋体" w:hAnsi="宋体" w:eastAsia="宋体" w:cs="宋体"/>
          <w:sz w:val="24"/>
          <w:szCs w:val="24"/>
        </w:rPr>
        <w:t>七、投标人业绩情况表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_Toc27112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9DF3622">
      <w:pPr>
        <w:pStyle w:val="19"/>
        <w:tabs>
          <w:tab w:val="right" w:leader="dot" w:pos="9298"/>
          <w:tab w:val="clear" w:pos="142"/>
          <w:tab w:val="clear" w:pos="735"/>
          <w:tab w:val="clear" w:pos="9072"/>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_Toc16272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八</w:t>
      </w:r>
      <w:r>
        <w:rPr>
          <w:rFonts w:hint="eastAsia" w:ascii="宋体" w:hAnsi="宋体" w:eastAsia="宋体" w:cs="宋体"/>
          <w:sz w:val="24"/>
          <w:szCs w:val="24"/>
        </w:rPr>
        <w:t>、近三年来已完及在建类似工程情况一览表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_Toc16272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75B9FF7">
      <w:pPr>
        <w:pStyle w:val="19"/>
        <w:tabs>
          <w:tab w:val="right" w:leader="dot" w:pos="9298"/>
          <w:tab w:val="clear" w:pos="142"/>
          <w:tab w:val="clear" w:pos="735"/>
          <w:tab w:val="clear" w:pos="9072"/>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_Toc722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九、监理大纲</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_Toc722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B185F8E">
      <w:pPr>
        <w:pStyle w:val="19"/>
        <w:tabs>
          <w:tab w:val="right" w:leader="dot" w:pos="9298"/>
          <w:tab w:val="clear" w:pos="142"/>
          <w:tab w:val="clear" w:pos="735"/>
          <w:tab w:val="clear" w:pos="9072"/>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_Toc11594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十、项目管理机构</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_Toc11594 \h </w:instrText>
      </w:r>
      <w:r>
        <w:rPr>
          <w:rFonts w:hint="eastAsia" w:ascii="宋体" w:hAnsi="宋体" w:eastAsia="宋体" w:cs="宋体"/>
          <w:sz w:val="24"/>
          <w:szCs w:val="24"/>
        </w:rPr>
        <w:fldChar w:fldCharType="separate"/>
      </w:r>
      <w:r>
        <w:rPr>
          <w:rFonts w:hint="eastAsia" w:ascii="宋体" w:hAnsi="宋体" w:eastAsia="宋体" w:cs="宋体"/>
          <w:sz w:val="24"/>
          <w:szCs w:val="24"/>
        </w:rPr>
        <w:t>27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C0663B0">
      <w:pPr>
        <w:pStyle w:val="28"/>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_Toc20058 </w:instrText>
      </w:r>
      <w:r>
        <w:rPr>
          <w:rFonts w:hint="eastAsia" w:ascii="宋体" w:hAnsi="宋体" w:eastAsia="宋体" w:cs="宋体"/>
          <w:sz w:val="24"/>
          <w:szCs w:val="24"/>
        </w:rPr>
        <w:fldChar w:fldCharType="separate"/>
      </w:r>
      <w:r>
        <w:rPr>
          <w:rFonts w:hint="eastAsia" w:ascii="宋体" w:hAnsi="宋体" w:eastAsia="宋体" w:cs="宋体"/>
          <w:sz w:val="24"/>
          <w:szCs w:val="24"/>
        </w:rPr>
        <w:t>第二部分    合同条件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_Toc20058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3A6212A">
      <w:pPr>
        <w:pStyle w:val="28"/>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_Toc21043 </w:instrText>
      </w:r>
      <w:r>
        <w:rPr>
          <w:rFonts w:hint="eastAsia" w:ascii="宋体" w:hAnsi="宋体" w:eastAsia="宋体" w:cs="宋体"/>
          <w:sz w:val="24"/>
          <w:szCs w:val="24"/>
        </w:rPr>
        <w:fldChar w:fldCharType="separate"/>
      </w:r>
      <w:r>
        <w:rPr>
          <w:rFonts w:hint="eastAsia" w:ascii="宋体" w:hAnsi="宋体" w:eastAsia="宋体" w:cs="宋体"/>
          <w:bCs/>
          <w:snapToGrid w:val="0"/>
          <w:kern w:val="44"/>
          <w:sz w:val="24"/>
          <w:szCs w:val="24"/>
        </w:rPr>
        <w:t>第一部分  合同协议书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_Toc21043 \h </w:instrText>
      </w:r>
      <w:r>
        <w:rPr>
          <w:rFonts w:hint="eastAsia" w:ascii="宋体" w:hAnsi="宋体" w:eastAsia="宋体" w:cs="宋体"/>
          <w:sz w:val="24"/>
          <w:szCs w:val="24"/>
        </w:rPr>
        <w:fldChar w:fldCharType="separate"/>
      </w:r>
      <w:r>
        <w:rPr>
          <w:rFonts w:hint="eastAsia" w:ascii="宋体" w:hAnsi="宋体" w:eastAsia="宋体" w:cs="宋体"/>
          <w:sz w:val="24"/>
          <w:szCs w:val="24"/>
        </w:rPr>
        <w:t>30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88DBB0F">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_Toc30780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rPr>
        <w:t>一、 工程概况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_Toc30780 \h </w:instrText>
      </w:r>
      <w:r>
        <w:rPr>
          <w:rFonts w:hint="eastAsia" w:ascii="宋体" w:hAnsi="宋体" w:eastAsia="宋体" w:cs="宋体"/>
          <w:sz w:val="24"/>
          <w:szCs w:val="24"/>
        </w:rPr>
        <w:fldChar w:fldCharType="separate"/>
      </w:r>
      <w:r>
        <w:rPr>
          <w:rFonts w:hint="eastAsia" w:ascii="宋体" w:hAnsi="宋体" w:eastAsia="宋体" w:cs="宋体"/>
          <w:sz w:val="24"/>
          <w:szCs w:val="24"/>
        </w:rPr>
        <w:t>30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AC4274F">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_Toc32090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lang w:val="en-US" w:eastAsia="zh-CN"/>
        </w:rPr>
        <w:t>二、 服务期限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_Toc32090 \h </w:instrText>
      </w:r>
      <w:r>
        <w:rPr>
          <w:rFonts w:hint="eastAsia" w:ascii="宋体" w:hAnsi="宋体" w:eastAsia="宋体" w:cs="宋体"/>
          <w:sz w:val="24"/>
          <w:szCs w:val="24"/>
        </w:rPr>
        <w:fldChar w:fldCharType="separate"/>
      </w:r>
      <w:r>
        <w:rPr>
          <w:rFonts w:hint="eastAsia" w:ascii="宋体" w:hAnsi="宋体" w:eastAsia="宋体" w:cs="宋体"/>
          <w:sz w:val="24"/>
          <w:szCs w:val="24"/>
        </w:rPr>
        <w:t>30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BF403F8">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_Toc9347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lang w:val="en-US" w:eastAsia="zh-CN"/>
        </w:rPr>
        <w:t>三、 质量标准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_Toc9347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0CDDD40">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_Toc30443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lang w:val="en-US" w:eastAsia="zh-CN"/>
        </w:rPr>
        <w:t>四、 合同价款与合同价格形式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_Toc30443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FDBDECD">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_Toc9657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lang w:val="en-US" w:eastAsia="zh-CN"/>
        </w:rPr>
        <w:t>五、 总监理工程师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_Toc9657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9FBC01A">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_Toc349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lang w:val="en-US" w:eastAsia="zh-CN"/>
        </w:rPr>
        <w:t>六、 合同文件构成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_Toc349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5BB7196">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_Toc154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lang w:val="en-US" w:eastAsia="zh-CN"/>
        </w:rPr>
        <w:t>七、 承诺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_Toc154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7381839">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_Toc7479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lang w:val="en-US" w:eastAsia="zh-CN"/>
        </w:rPr>
        <w:t>八、 本协议书中词语含义与第三部分通用合同条款中赋予的含义相同。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_Toc7479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CAFE736">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_Toc27219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lang w:val="en-US" w:eastAsia="zh-CN"/>
        </w:rPr>
        <w:t>九、 签订时间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_Toc27219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BBE6A74">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_Toc13264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lang w:val="en-US" w:eastAsia="zh-CN"/>
        </w:rPr>
        <w:t>十、 签订地点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_Toc13264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6C177A5">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_Toc3454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lang w:val="en-US" w:eastAsia="zh-CN"/>
        </w:rPr>
        <w:t>十一、 补充协议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_Toc3454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424AD20">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_Toc20882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lang w:val="en-US" w:eastAsia="zh-CN"/>
        </w:rPr>
        <w:t>十二、 合同生效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_Toc20882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FE0AB2A">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_Toc9587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lang w:val="en-US" w:eastAsia="zh-CN"/>
        </w:rPr>
        <w:t>十三、 合同份数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_Toc9587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4B59FE1">
      <w:pPr>
        <w:pStyle w:val="28"/>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_Toc16219 </w:instrText>
      </w:r>
      <w:r>
        <w:rPr>
          <w:rFonts w:hint="eastAsia" w:ascii="宋体" w:hAnsi="宋体" w:eastAsia="宋体" w:cs="宋体"/>
          <w:sz w:val="24"/>
          <w:szCs w:val="24"/>
        </w:rPr>
        <w:fldChar w:fldCharType="separate"/>
      </w:r>
      <w:r>
        <w:rPr>
          <w:rFonts w:hint="eastAsia" w:ascii="宋体" w:hAnsi="宋体" w:eastAsia="宋体" w:cs="宋体"/>
          <w:bCs/>
          <w:snapToGrid w:val="0"/>
          <w:kern w:val="44"/>
          <w:sz w:val="24"/>
          <w:szCs w:val="24"/>
        </w:rPr>
        <w:t>第二部分 合同条款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_Toc16219 \h </w:instrText>
      </w:r>
      <w:r>
        <w:rPr>
          <w:rFonts w:hint="eastAsia" w:ascii="宋体" w:hAnsi="宋体" w:eastAsia="宋体" w:cs="宋体"/>
          <w:sz w:val="24"/>
          <w:szCs w:val="24"/>
        </w:rPr>
        <w:fldChar w:fldCharType="separate"/>
      </w:r>
      <w:r>
        <w:rPr>
          <w:rFonts w:hint="eastAsia" w:ascii="宋体" w:hAnsi="宋体" w:eastAsia="宋体" w:cs="宋体"/>
          <w:sz w:val="24"/>
          <w:szCs w:val="24"/>
        </w:rPr>
        <w:t>34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2A92E98">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_Toc23796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rPr>
        <w:t>第一章 合同专用条款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_Toc23796 \h </w:instrText>
      </w:r>
      <w:r>
        <w:rPr>
          <w:rFonts w:hint="eastAsia" w:ascii="宋体" w:hAnsi="宋体" w:eastAsia="宋体" w:cs="宋体"/>
          <w:sz w:val="24"/>
          <w:szCs w:val="24"/>
        </w:rPr>
        <w:fldChar w:fldCharType="separate"/>
      </w:r>
      <w:r>
        <w:rPr>
          <w:rFonts w:hint="eastAsia" w:ascii="宋体" w:hAnsi="宋体" w:eastAsia="宋体" w:cs="宋体"/>
          <w:sz w:val="24"/>
          <w:szCs w:val="24"/>
        </w:rPr>
        <w:t>35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6B46B48">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_Toc832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rPr>
        <w:t>第二章 合同通用条款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_Toc832 \h </w:instrText>
      </w:r>
      <w:r>
        <w:rPr>
          <w:rFonts w:hint="eastAsia" w:ascii="宋体" w:hAnsi="宋体" w:eastAsia="宋体" w:cs="宋体"/>
          <w:sz w:val="24"/>
          <w:szCs w:val="24"/>
        </w:rPr>
        <w:fldChar w:fldCharType="separate"/>
      </w:r>
      <w:r>
        <w:rPr>
          <w:rFonts w:hint="eastAsia" w:ascii="宋体" w:hAnsi="宋体" w:eastAsia="宋体" w:cs="宋体"/>
          <w:sz w:val="24"/>
          <w:szCs w:val="24"/>
        </w:rPr>
        <w:t>55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6FBC937">
      <w:pPr>
        <w:pStyle w:val="28"/>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_Toc24863 </w:instrText>
      </w:r>
      <w:r>
        <w:rPr>
          <w:rFonts w:hint="eastAsia" w:ascii="宋体" w:hAnsi="宋体" w:eastAsia="宋体" w:cs="宋体"/>
          <w:sz w:val="24"/>
          <w:szCs w:val="24"/>
        </w:rPr>
        <w:fldChar w:fldCharType="separate"/>
      </w:r>
      <w:r>
        <w:rPr>
          <w:rFonts w:hint="eastAsia" w:ascii="宋体" w:hAnsi="宋体" w:eastAsia="宋体" w:cs="宋体"/>
          <w:bCs/>
          <w:snapToGrid w:val="0"/>
          <w:kern w:val="44"/>
          <w:sz w:val="24"/>
          <w:szCs w:val="24"/>
        </w:rPr>
        <w:t xml:space="preserve">第三部分  </w:t>
      </w:r>
      <w:r>
        <w:rPr>
          <w:rFonts w:hint="eastAsia" w:ascii="宋体" w:hAnsi="宋体" w:eastAsia="宋体" w:cs="宋体"/>
          <w:sz w:val="24"/>
          <w:szCs w:val="24"/>
        </w:rPr>
        <w:t>技术标准和工程建设标准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_Toc24863 \h </w:instrText>
      </w:r>
      <w:r>
        <w:rPr>
          <w:rFonts w:hint="eastAsia" w:ascii="宋体" w:hAnsi="宋体" w:eastAsia="宋体" w:cs="宋体"/>
          <w:sz w:val="24"/>
          <w:szCs w:val="24"/>
        </w:rPr>
        <w:fldChar w:fldCharType="separate"/>
      </w:r>
      <w:r>
        <w:rPr>
          <w:rFonts w:hint="eastAsia" w:ascii="宋体" w:hAnsi="宋体" w:eastAsia="宋体" w:cs="宋体"/>
          <w:sz w:val="24"/>
          <w:szCs w:val="24"/>
        </w:rPr>
        <w:t>64</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1C630C0">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_Toc19007 </w:instrText>
      </w:r>
      <w:r>
        <w:rPr>
          <w:rFonts w:hint="eastAsia" w:ascii="宋体" w:hAnsi="宋体" w:eastAsia="宋体" w:cs="宋体"/>
          <w:sz w:val="24"/>
          <w:szCs w:val="24"/>
        </w:rPr>
        <w:fldChar w:fldCharType="separate"/>
      </w:r>
      <w:r>
        <w:rPr>
          <w:rFonts w:hint="eastAsia" w:ascii="宋体" w:hAnsi="宋体" w:eastAsia="宋体" w:cs="宋体"/>
          <w:snapToGrid w:val="0"/>
          <w:sz w:val="24"/>
          <w:szCs w:val="24"/>
        </w:rPr>
        <w:t>第一章</w:t>
      </w:r>
      <w:r>
        <w:rPr>
          <w:rFonts w:hint="eastAsia" w:ascii="宋体" w:hAnsi="宋体" w:eastAsia="宋体" w:cs="宋体"/>
          <w:snapToGrid w:val="0"/>
          <w:sz w:val="24"/>
          <w:szCs w:val="24"/>
          <w:lang w:val="en-US" w:eastAsia="zh-CN"/>
        </w:rPr>
        <w:t>监理</w:t>
      </w:r>
      <w:r>
        <w:rPr>
          <w:rFonts w:hint="eastAsia" w:ascii="宋体" w:hAnsi="宋体" w:eastAsia="宋体" w:cs="宋体"/>
          <w:snapToGrid w:val="0"/>
          <w:sz w:val="24"/>
          <w:szCs w:val="24"/>
          <w:lang w:eastAsia="zh-CN"/>
        </w:rPr>
        <w:t>人</w:t>
      </w:r>
      <w:r>
        <w:rPr>
          <w:rFonts w:hint="eastAsia" w:ascii="宋体" w:hAnsi="宋体" w:eastAsia="宋体" w:cs="宋体"/>
          <w:snapToGrid w:val="0"/>
          <w:sz w:val="24"/>
          <w:szCs w:val="24"/>
        </w:rPr>
        <w:t>的工作范围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_Toc19007 \h </w:instrText>
      </w:r>
      <w:r>
        <w:rPr>
          <w:rFonts w:hint="eastAsia" w:ascii="宋体" w:hAnsi="宋体" w:eastAsia="宋体" w:cs="宋体"/>
          <w:sz w:val="24"/>
          <w:szCs w:val="24"/>
        </w:rPr>
        <w:fldChar w:fldCharType="separate"/>
      </w:r>
      <w:r>
        <w:rPr>
          <w:rFonts w:hint="eastAsia" w:ascii="宋体" w:hAnsi="宋体" w:eastAsia="宋体" w:cs="宋体"/>
          <w:sz w:val="24"/>
          <w:szCs w:val="24"/>
        </w:rPr>
        <w:t>65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C412601">
      <w:pPr>
        <w:pStyle w:val="19"/>
        <w:tabs>
          <w:tab w:val="right" w:leader="dot" w:pos="9298"/>
          <w:tab w:val="clear" w:pos="142"/>
          <w:tab w:val="clear" w:pos="735"/>
          <w:tab w:val="clear" w:pos="9072"/>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_Toc29721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rPr>
        <w:t>1. 工作范围说明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_Toc29721 \h </w:instrText>
      </w:r>
      <w:r>
        <w:rPr>
          <w:rFonts w:hint="eastAsia" w:ascii="宋体" w:hAnsi="宋体" w:eastAsia="宋体" w:cs="宋体"/>
          <w:sz w:val="24"/>
          <w:szCs w:val="24"/>
        </w:rPr>
        <w:fldChar w:fldCharType="separate"/>
      </w:r>
      <w:r>
        <w:rPr>
          <w:rFonts w:hint="eastAsia" w:ascii="宋体" w:hAnsi="宋体" w:eastAsia="宋体" w:cs="宋体"/>
          <w:sz w:val="24"/>
          <w:szCs w:val="24"/>
        </w:rPr>
        <w:t>65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EB6F147">
      <w:pPr>
        <w:pStyle w:val="19"/>
        <w:tabs>
          <w:tab w:val="right" w:leader="dot" w:pos="9298"/>
          <w:tab w:val="clear" w:pos="142"/>
          <w:tab w:val="clear" w:pos="735"/>
          <w:tab w:val="clear" w:pos="9072"/>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_Toc16011 </w:instrText>
      </w:r>
      <w:r>
        <w:rPr>
          <w:rFonts w:hint="eastAsia" w:ascii="宋体" w:hAnsi="宋体" w:eastAsia="宋体" w:cs="宋体"/>
          <w:sz w:val="24"/>
          <w:szCs w:val="24"/>
        </w:rPr>
        <w:fldChar w:fldCharType="separate"/>
      </w:r>
      <w:r>
        <w:rPr>
          <w:rFonts w:hint="eastAsia" w:ascii="宋体" w:hAnsi="宋体" w:eastAsia="宋体" w:cs="宋体"/>
          <w:bCs/>
          <w:snapToGrid w:val="0"/>
          <w:sz w:val="24"/>
          <w:szCs w:val="24"/>
        </w:rPr>
        <w:t>2. 工程内容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_Toc16011 \h </w:instrText>
      </w:r>
      <w:r>
        <w:rPr>
          <w:rFonts w:hint="eastAsia" w:ascii="宋体" w:hAnsi="宋体" w:eastAsia="宋体" w:cs="宋体"/>
          <w:sz w:val="24"/>
          <w:szCs w:val="24"/>
        </w:rPr>
        <w:fldChar w:fldCharType="separate"/>
      </w:r>
      <w:r>
        <w:rPr>
          <w:rFonts w:hint="eastAsia" w:ascii="宋体" w:hAnsi="宋体" w:eastAsia="宋体" w:cs="宋体"/>
          <w:sz w:val="24"/>
          <w:szCs w:val="24"/>
        </w:rPr>
        <w:t>65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2320109">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_Toc24610 </w:instrText>
      </w:r>
      <w:r>
        <w:rPr>
          <w:rFonts w:hint="eastAsia" w:ascii="宋体" w:hAnsi="宋体" w:eastAsia="宋体" w:cs="宋体"/>
          <w:sz w:val="24"/>
          <w:szCs w:val="24"/>
        </w:rPr>
        <w:fldChar w:fldCharType="separate"/>
      </w:r>
      <w:r>
        <w:rPr>
          <w:rFonts w:hint="eastAsia" w:ascii="宋体" w:hAnsi="宋体" w:eastAsia="宋体" w:cs="宋体"/>
          <w:bCs/>
          <w:snapToGrid w:val="0"/>
          <w:kern w:val="2"/>
          <w:sz w:val="24"/>
          <w:szCs w:val="24"/>
          <w:lang w:val="en-US" w:eastAsia="zh-CN" w:bidi="ar-SA"/>
        </w:rPr>
        <w:t>第二章  适用于本项目的技术标准和工程建设标准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_Toc24610 \h </w:instrText>
      </w:r>
      <w:r>
        <w:rPr>
          <w:rFonts w:hint="eastAsia" w:ascii="宋体" w:hAnsi="宋体" w:eastAsia="宋体" w:cs="宋体"/>
          <w:sz w:val="24"/>
          <w:szCs w:val="24"/>
        </w:rPr>
        <w:fldChar w:fldCharType="separate"/>
      </w:r>
      <w:r>
        <w:rPr>
          <w:rFonts w:hint="eastAsia" w:ascii="宋体" w:hAnsi="宋体" w:eastAsia="宋体" w:cs="宋体"/>
          <w:sz w:val="24"/>
          <w:szCs w:val="24"/>
        </w:rPr>
        <w:t>66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17E3D3E">
      <w:pPr>
        <w:pStyle w:val="28"/>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_Toc11721 </w:instrText>
      </w:r>
      <w:r>
        <w:rPr>
          <w:rFonts w:hint="eastAsia" w:ascii="宋体" w:hAnsi="宋体" w:eastAsia="宋体" w:cs="宋体"/>
          <w:sz w:val="24"/>
          <w:szCs w:val="24"/>
        </w:rPr>
        <w:fldChar w:fldCharType="separate"/>
      </w:r>
      <w:r>
        <w:rPr>
          <w:rFonts w:hint="eastAsia" w:ascii="宋体" w:hAnsi="宋体" w:eastAsia="宋体" w:cs="宋体"/>
          <w:bCs/>
          <w:snapToGrid w:val="0"/>
          <w:kern w:val="44"/>
          <w:sz w:val="24"/>
          <w:szCs w:val="24"/>
        </w:rPr>
        <w:t>第四部分  合同清单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_Toc11721 \h </w:instrText>
      </w:r>
      <w:r>
        <w:rPr>
          <w:rFonts w:hint="eastAsia" w:ascii="宋体" w:hAnsi="宋体" w:eastAsia="宋体" w:cs="宋体"/>
          <w:sz w:val="24"/>
          <w:szCs w:val="24"/>
        </w:rPr>
        <w:fldChar w:fldCharType="separate"/>
      </w:r>
      <w:r>
        <w:rPr>
          <w:rFonts w:hint="eastAsia" w:ascii="宋体" w:hAnsi="宋体" w:eastAsia="宋体" w:cs="宋体"/>
          <w:sz w:val="24"/>
          <w:szCs w:val="24"/>
        </w:rPr>
        <w:t>68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BE572E4">
      <w:pPr>
        <w:pStyle w:val="28"/>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_Toc12440 </w:instrText>
      </w:r>
      <w:r>
        <w:rPr>
          <w:rFonts w:hint="eastAsia" w:ascii="宋体" w:hAnsi="宋体" w:eastAsia="宋体" w:cs="宋体"/>
          <w:sz w:val="24"/>
          <w:szCs w:val="24"/>
        </w:rPr>
        <w:fldChar w:fldCharType="separate"/>
      </w:r>
      <w:r>
        <w:rPr>
          <w:rFonts w:hint="eastAsia" w:ascii="宋体" w:hAnsi="宋体" w:eastAsia="宋体" w:cs="宋体"/>
          <w:bCs/>
          <w:snapToGrid w:val="0"/>
          <w:kern w:val="44"/>
          <w:sz w:val="24"/>
          <w:szCs w:val="24"/>
        </w:rPr>
        <w:t>第五部分  合同附件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_Toc12440 \h </w:instrText>
      </w:r>
      <w:r>
        <w:rPr>
          <w:rFonts w:hint="eastAsia" w:ascii="宋体" w:hAnsi="宋体" w:eastAsia="宋体" w:cs="宋体"/>
          <w:sz w:val="24"/>
          <w:szCs w:val="24"/>
        </w:rPr>
        <w:fldChar w:fldCharType="separate"/>
      </w:r>
      <w:r>
        <w:rPr>
          <w:rFonts w:hint="eastAsia" w:ascii="宋体" w:hAnsi="宋体" w:eastAsia="宋体" w:cs="宋体"/>
          <w:sz w:val="24"/>
          <w:szCs w:val="24"/>
        </w:rPr>
        <w:t>69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3994A8B">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_Toc25360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合同附件1</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_Toc25360 \h </w:instrText>
      </w:r>
      <w:r>
        <w:rPr>
          <w:rFonts w:hint="eastAsia" w:ascii="宋体" w:hAnsi="宋体" w:eastAsia="宋体" w:cs="宋体"/>
          <w:sz w:val="24"/>
          <w:szCs w:val="24"/>
        </w:rPr>
        <w:fldChar w:fldCharType="separate"/>
      </w:r>
      <w:r>
        <w:rPr>
          <w:rFonts w:hint="eastAsia" w:ascii="宋体" w:hAnsi="宋体" w:eastAsia="宋体" w:cs="宋体"/>
          <w:sz w:val="24"/>
          <w:szCs w:val="24"/>
        </w:rPr>
        <w:t>70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D69BA64">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_Toc4354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合同附件2</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_Toc4354 \h </w:instrText>
      </w:r>
      <w:r>
        <w:rPr>
          <w:rFonts w:hint="eastAsia" w:ascii="宋体" w:hAnsi="宋体" w:eastAsia="宋体" w:cs="宋体"/>
          <w:sz w:val="24"/>
          <w:szCs w:val="24"/>
        </w:rPr>
        <w:fldChar w:fldCharType="separate"/>
      </w:r>
      <w:r>
        <w:rPr>
          <w:rFonts w:hint="eastAsia" w:ascii="宋体" w:hAnsi="宋体" w:eastAsia="宋体" w:cs="宋体"/>
          <w:sz w:val="24"/>
          <w:szCs w:val="24"/>
        </w:rPr>
        <w:t>71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B1A82BA">
      <w:pPr>
        <w:pStyle w:val="33"/>
        <w:tabs>
          <w:tab w:val="right" w:leader="dot" w:pos="9298"/>
          <w:tab w:val="clear" w:pos="9060"/>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_Toc31373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合同附件3</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_Toc31373 \h </w:instrText>
      </w:r>
      <w:r>
        <w:rPr>
          <w:rFonts w:hint="eastAsia" w:ascii="宋体" w:hAnsi="宋体" w:eastAsia="宋体" w:cs="宋体"/>
          <w:sz w:val="24"/>
          <w:szCs w:val="24"/>
        </w:rPr>
        <w:fldChar w:fldCharType="separate"/>
      </w:r>
      <w:r>
        <w:rPr>
          <w:rFonts w:hint="eastAsia" w:ascii="宋体" w:hAnsi="宋体" w:eastAsia="宋体" w:cs="宋体"/>
          <w:sz w:val="24"/>
          <w:szCs w:val="24"/>
        </w:rPr>
        <w:t>73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E3664C1">
      <w:pPr>
        <w:spacing w:line="360" w:lineRule="auto"/>
        <w:rPr>
          <w:rFonts w:hint="eastAsia" w:ascii="宋体" w:hAnsi="宋体" w:eastAsia="宋体" w:cs="宋体"/>
          <w:sz w:val="24"/>
          <w:szCs w:val="24"/>
        </w:rPr>
      </w:pPr>
      <w:r>
        <w:rPr>
          <w:rFonts w:hint="eastAsia" w:ascii="宋体" w:hAnsi="宋体" w:eastAsia="宋体" w:cs="宋体"/>
          <w:sz w:val="24"/>
          <w:szCs w:val="24"/>
        </w:rPr>
        <w:fldChar w:fldCharType="end"/>
      </w:r>
    </w:p>
    <w:p w14:paraId="6D3CDA8B">
      <w:pPr>
        <w:widowControl/>
        <w:jc w:val="left"/>
      </w:pPr>
      <w:bookmarkStart w:id="0" w:name="_Toc83196640"/>
      <w:bookmarkStart w:id="1" w:name="_Toc106690282"/>
      <w:r>
        <w:br w:type="page"/>
      </w:r>
    </w:p>
    <w:p w14:paraId="26C834A4">
      <w:pPr>
        <w:pStyle w:val="3"/>
        <w:tabs>
          <w:tab w:val="left" w:pos="3192"/>
        </w:tabs>
        <w:spacing w:before="0" w:after="0" w:line="240" w:lineRule="auto"/>
        <w:jc w:val="center"/>
        <w:rPr>
          <w:rFonts w:hint="eastAsia" w:asciiTheme="minorEastAsia" w:hAnsiTheme="minorEastAsia" w:eastAsiaTheme="minorEastAsia" w:cstheme="minorEastAsia"/>
          <w:sz w:val="24"/>
          <w:szCs w:val="24"/>
        </w:rPr>
      </w:pPr>
      <w:bookmarkStart w:id="2" w:name="_Toc17770"/>
      <w:bookmarkStart w:id="3" w:name="_Toc14201"/>
      <w:bookmarkStart w:id="4" w:name="_Toc720"/>
      <w:bookmarkStart w:id="5" w:name="_Toc6537"/>
      <w:bookmarkStart w:id="6" w:name="_Toc12726"/>
      <w:bookmarkStart w:id="7" w:name="_Toc8632"/>
      <w:bookmarkStart w:id="8" w:name="_Toc421807494"/>
      <w:bookmarkStart w:id="9" w:name="_Toc32656"/>
      <w:bookmarkStart w:id="10" w:name="_Toc29926"/>
      <w:bookmarkStart w:id="11" w:name="_Toc19965"/>
      <w:bookmarkStart w:id="12" w:name="_Toc16322"/>
      <w:bookmarkStart w:id="13" w:name="_Toc11027"/>
      <w:bookmarkStart w:id="14" w:name="_Toc25167"/>
      <w:bookmarkStart w:id="15" w:name="_Toc28373"/>
      <w:bookmarkStart w:id="16" w:name="_Toc23474"/>
      <w:bookmarkStart w:id="17" w:name="_Toc2030"/>
      <w:bookmarkStart w:id="18" w:name="_Toc26541"/>
      <w:r>
        <w:rPr>
          <w:rFonts w:hint="eastAsia" w:asciiTheme="minorEastAsia" w:hAnsiTheme="minorEastAsia" w:eastAsiaTheme="minorEastAsia" w:cstheme="minorEastAsia"/>
          <w:sz w:val="24"/>
          <w:szCs w:val="24"/>
        </w:rPr>
        <w:t>第一部分    投标人须知</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Start w:id="19" w:name="_Toc83196641"/>
    </w:p>
    <w:p w14:paraId="7DE61DDD">
      <w:pPr>
        <w:pStyle w:val="3"/>
        <w:tabs>
          <w:tab w:val="left" w:pos="2310"/>
          <w:tab w:val="left" w:pos="3192"/>
          <w:tab w:val="left" w:pos="4200"/>
        </w:tabs>
        <w:spacing w:before="0" w:after="0" w:line="240" w:lineRule="auto"/>
        <w:rPr>
          <w:rFonts w:hint="eastAsia" w:asciiTheme="minorEastAsia" w:hAnsiTheme="minorEastAsia" w:eastAsiaTheme="minorEastAsia" w:cstheme="minorEastAsia"/>
          <w:sz w:val="24"/>
          <w:szCs w:val="24"/>
        </w:rPr>
      </w:pPr>
      <w:bookmarkStart w:id="20" w:name="_Toc17414"/>
      <w:bookmarkStart w:id="21" w:name="_Toc5296"/>
      <w:bookmarkStart w:id="22" w:name="_Toc8956"/>
      <w:bookmarkStart w:id="23" w:name="_Toc26713"/>
      <w:bookmarkStart w:id="24" w:name="_Toc23064"/>
      <w:bookmarkStart w:id="25" w:name="_Toc26342"/>
      <w:bookmarkStart w:id="26" w:name="_Toc12652"/>
      <w:bookmarkStart w:id="27" w:name="_Toc32589"/>
      <w:bookmarkStart w:id="28" w:name="_Toc17585"/>
      <w:bookmarkStart w:id="29" w:name="_Toc3372"/>
      <w:bookmarkStart w:id="30" w:name="_Toc106690283"/>
      <w:bookmarkStart w:id="31" w:name="_Toc10328"/>
      <w:bookmarkStart w:id="32" w:name="_Toc30205"/>
      <w:bookmarkStart w:id="33" w:name="_Toc18244"/>
      <w:bookmarkStart w:id="34" w:name="_Toc23832"/>
      <w:bookmarkStart w:id="35" w:name="_Toc13227"/>
      <w:bookmarkStart w:id="36" w:name="_Toc4385"/>
      <w:bookmarkStart w:id="37" w:name="_Toc421807495"/>
      <w:r>
        <w:rPr>
          <w:rFonts w:hint="eastAsia" w:asciiTheme="minorEastAsia" w:hAnsiTheme="minorEastAsia" w:eastAsiaTheme="minorEastAsia" w:cstheme="minorEastAsia"/>
          <w:sz w:val="24"/>
          <w:szCs w:val="24"/>
        </w:rPr>
        <w:t>前附表</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tbl>
      <w:tblPr>
        <w:tblStyle w:val="41"/>
        <w:tblW w:w="9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935"/>
        <w:gridCol w:w="6724"/>
      </w:tblGrid>
      <w:tr w14:paraId="3ED6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2035D400">
            <w:pPr>
              <w:snapToGrid w:val="0"/>
              <w:spacing w:line="360" w:lineRule="auto"/>
              <w:jc w:val="center"/>
              <w:rPr>
                <w:rFonts w:hint="eastAsia" w:asciiTheme="minorEastAsia" w:hAnsiTheme="minorEastAsia" w:eastAsiaTheme="minorEastAsia" w:cstheme="minorEastAsia"/>
                <w:b/>
                <w:bCs/>
                <w:spacing w:val="-16"/>
                <w:sz w:val="24"/>
                <w:szCs w:val="24"/>
              </w:rPr>
            </w:pPr>
            <w:r>
              <w:rPr>
                <w:rFonts w:hint="eastAsia" w:asciiTheme="minorEastAsia" w:hAnsiTheme="minorEastAsia" w:eastAsiaTheme="minorEastAsia" w:cstheme="minorEastAsia"/>
                <w:b/>
                <w:bCs/>
                <w:spacing w:val="-16"/>
                <w:sz w:val="24"/>
                <w:szCs w:val="24"/>
              </w:rPr>
              <w:t>项号</w:t>
            </w:r>
          </w:p>
        </w:tc>
        <w:tc>
          <w:tcPr>
            <w:tcW w:w="1935" w:type="dxa"/>
            <w:vAlign w:val="center"/>
          </w:tcPr>
          <w:p w14:paraId="2D23868F">
            <w:pPr>
              <w:snapToGrid w:val="0"/>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   容</w:t>
            </w:r>
          </w:p>
        </w:tc>
        <w:tc>
          <w:tcPr>
            <w:tcW w:w="6724" w:type="dxa"/>
            <w:vAlign w:val="center"/>
          </w:tcPr>
          <w:p w14:paraId="6DF23303">
            <w:pPr>
              <w:snapToGrid w:val="0"/>
              <w:spacing w:line="360" w:lineRule="auto"/>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规           定</w:t>
            </w:r>
          </w:p>
        </w:tc>
      </w:tr>
      <w:tr w14:paraId="1906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3E7DDA9F">
            <w:pPr>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935" w:type="dxa"/>
            <w:vAlign w:val="center"/>
          </w:tcPr>
          <w:p w14:paraId="34FCF52B">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咨询服务</w:t>
            </w:r>
            <w:r>
              <w:rPr>
                <w:rFonts w:hint="eastAsia" w:ascii="宋体" w:hAnsi="宋体" w:eastAsia="宋体" w:cs="宋体"/>
                <w:sz w:val="24"/>
                <w:szCs w:val="24"/>
              </w:rPr>
              <w:t>名称</w:t>
            </w:r>
          </w:p>
        </w:tc>
        <w:tc>
          <w:tcPr>
            <w:tcW w:w="6724" w:type="dxa"/>
            <w:vAlign w:val="center"/>
          </w:tcPr>
          <w:p w14:paraId="6DAE0760">
            <w:pPr>
              <w:pStyle w:val="28"/>
              <w:spacing w:line="360" w:lineRule="auto"/>
              <w:rPr>
                <w:rFonts w:hint="eastAsia" w:asciiTheme="minorEastAsia" w:hAnsiTheme="minorEastAsia" w:eastAsiaTheme="minorEastAsia" w:cstheme="minorEastAsia"/>
                <w:sz w:val="24"/>
                <w:szCs w:val="24"/>
                <w:lang w:eastAsia="zh-CN"/>
              </w:rPr>
            </w:pPr>
            <w:r>
              <w:rPr>
                <w:rFonts w:hint="eastAsia" w:cs="宋体"/>
                <w:color w:val="000000" w:themeColor="text1"/>
                <w:kern w:val="2"/>
                <w:sz w:val="24"/>
                <w:szCs w:val="24"/>
                <w:lang w:val="en-US" w:eastAsia="zh-CN" w:bidi="ar-SA"/>
                <w14:textFill>
                  <w14:solidFill>
                    <w14:schemeClr w14:val="tx1"/>
                  </w14:solidFill>
                </w14:textFill>
              </w:rPr>
              <w:t>重庆海联职业技术学院两江校区项目（二期）监理咨询服务</w:t>
            </w:r>
          </w:p>
        </w:tc>
      </w:tr>
      <w:tr w14:paraId="25AF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556AC555">
            <w:pPr>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935" w:type="dxa"/>
            <w:vAlign w:val="center"/>
          </w:tcPr>
          <w:p w14:paraId="5EDDC42E">
            <w:pPr>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咨询服务项目地点</w:t>
            </w:r>
          </w:p>
        </w:tc>
        <w:tc>
          <w:tcPr>
            <w:tcW w:w="6724" w:type="dxa"/>
            <w:vAlign w:val="center"/>
          </w:tcPr>
          <w:p w14:paraId="27D562A9">
            <w:pPr>
              <w:snapToGrid w:val="0"/>
              <w:spacing w:line="360" w:lineRule="auto"/>
              <w:ind w:firstLine="1"/>
              <w:jc w:val="left"/>
              <w:rPr>
                <w:rFonts w:hint="eastAsia" w:asciiTheme="minorEastAsia" w:hAnsiTheme="minorEastAsia" w:eastAsiaTheme="minorEastAsia" w:cstheme="minorEastAsia"/>
                <w:sz w:val="24"/>
                <w:szCs w:val="24"/>
                <w:lang w:eastAsia="zh-CN"/>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重庆两江新区龙兴工业园两江大道北延段（龙兴V组团标准分区V10-1/01）</w:t>
            </w:r>
            <w:r>
              <w:rPr>
                <w:rFonts w:hint="eastAsia" w:ascii="宋体" w:hAnsi="宋体" w:cs="宋体"/>
                <w:color w:val="000000" w:themeColor="text1"/>
                <w:kern w:val="2"/>
                <w:sz w:val="24"/>
                <w:szCs w:val="24"/>
                <w:lang w:val="en-US" w:eastAsia="zh-CN" w:bidi="ar-SA"/>
                <w14:textFill>
                  <w14:solidFill>
                    <w14:schemeClr w14:val="tx1"/>
                  </w14:solidFill>
                </w14:textFill>
              </w:rPr>
              <w:t>。</w:t>
            </w:r>
          </w:p>
        </w:tc>
      </w:tr>
      <w:tr w14:paraId="42B4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057BCB1A">
            <w:pPr>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935" w:type="dxa"/>
            <w:vAlign w:val="center"/>
          </w:tcPr>
          <w:p w14:paraId="68A1CD83">
            <w:pPr>
              <w:pageBreakBefore w:val="0"/>
              <w:kinsoku/>
              <w:wordWrap/>
              <w:overflowPunct/>
              <w:topLinePunct w:val="0"/>
              <w:bidi w:val="0"/>
              <w:snapToGrid w:val="0"/>
              <w:spacing w:line="300" w:lineRule="auto"/>
              <w:jc w:val="left"/>
              <w:textAlignment w:val="auto"/>
              <w:rPr>
                <w:rFonts w:hint="eastAsia" w:ascii="宋体" w:hAnsi="宋体" w:eastAsia="宋体" w:cs="宋体"/>
                <w:sz w:val="24"/>
                <w:szCs w:val="24"/>
                <w:highlight w:val="yellow"/>
              </w:rPr>
            </w:pPr>
            <w:r>
              <w:rPr>
                <w:rFonts w:hint="eastAsia" w:ascii="宋体" w:hAnsi="宋体" w:eastAsia="宋体" w:cs="宋体"/>
                <w:sz w:val="24"/>
                <w:szCs w:val="24"/>
              </w:rPr>
              <w:t>咨询服务项目</w:t>
            </w:r>
            <w:r>
              <w:rPr>
                <w:rFonts w:hint="eastAsia" w:ascii="宋体" w:hAnsi="宋体" w:eastAsia="宋体" w:cs="宋体"/>
                <w:color w:val="000000" w:themeColor="text1"/>
                <w:sz w:val="24"/>
                <w:szCs w:val="24"/>
                <w14:textFill>
                  <w14:solidFill>
                    <w14:schemeClr w14:val="tx1"/>
                  </w14:solidFill>
                </w14:textFill>
              </w:rPr>
              <w:t>规模</w:t>
            </w:r>
          </w:p>
        </w:tc>
        <w:tc>
          <w:tcPr>
            <w:tcW w:w="6724" w:type="dxa"/>
            <w:vAlign w:val="center"/>
          </w:tcPr>
          <w:p w14:paraId="0868A62F">
            <w:pPr>
              <w:pageBreakBefore w:val="0"/>
              <w:kinsoku/>
              <w:wordWrap/>
              <w:overflowPunct/>
              <w:topLinePunct w:val="0"/>
              <w:bidi w:val="0"/>
              <w:snapToGrid w:val="0"/>
              <w:spacing w:line="300" w:lineRule="auto"/>
              <w:jc w:val="left"/>
              <w:textAlignment w:val="auto"/>
              <w:rPr>
                <w:rFonts w:hint="eastAsia" w:asciiTheme="minorEastAsia" w:hAnsiTheme="minorEastAsia" w:eastAsiaTheme="minorEastAsia" w:cstheme="minorEastAsia"/>
                <w:sz w:val="24"/>
                <w:szCs w:val="24"/>
                <w:highlight w:val="yellow"/>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总建筑面积140000.00m²。</w:t>
            </w:r>
          </w:p>
        </w:tc>
      </w:tr>
      <w:tr w14:paraId="507B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4C931DAB">
            <w:pPr>
              <w:snapToGrid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935" w:type="dxa"/>
            <w:vAlign w:val="center"/>
          </w:tcPr>
          <w:p w14:paraId="5ABB855C">
            <w:pPr>
              <w:pageBreakBefore w:val="0"/>
              <w:kinsoku/>
              <w:wordWrap/>
              <w:overflowPunct/>
              <w:topLinePunct w:val="0"/>
              <w:bidi w:val="0"/>
              <w:snapToGrid w:val="0"/>
              <w:spacing w:line="300" w:lineRule="auto"/>
              <w:jc w:val="left"/>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资金来源</w:t>
            </w:r>
          </w:p>
        </w:tc>
        <w:tc>
          <w:tcPr>
            <w:tcW w:w="6724" w:type="dxa"/>
            <w:vAlign w:val="center"/>
          </w:tcPr>
          <w:p w14:paraId="5E799333">
            <w:pPr>
              <w:pageBreakBefore w:val="0"/>
              <w:kinsoku/>
              <w:wordWrap/>
              <w:overflowPunct/>
              <w:topLinePunct w:val="0"/>
              <w:bidi w:val="0"/>
              <w:snapToGrid w:val="0"/>
              <w:spacing w:line="300" w:lineRule="auto"/>
              <w:jc w:val="left"/>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自筹。</w:t>
            </w:r>
          </w:p>
        </w:tc>
      </w:tr>
      <w:tr w14:paraId="54B4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60C62429">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p>
        </w:tc>
        <w:tc>
          <w:tcPr>
            <w:tcW w:w="1935" w:type="dxa"/>
            <w:vAlign w:val="center"/>
          </w:tcPr>
          <w:p w14:paraId="30E870F3">
            <w:pPr>
              <w:pageBreakBefore w:val="0"/>
              <w:kinsoku/>
              <w:wordWrap/>
              <w:overflowPunct/>
              <w:topLinePunct w:val="0"/>
              <w:bidi w:val="0"/>
              <w:snapToGrid w:val="0"/>
              <w:spacing w:line="300" w:lineRule="auto"/>
              <w:jc w:val="left"/>
              <w:textAlignment w:val="auto"/>
              <w:rPr>
                <w:rFonts w:hint="eastAsia" w:asciiTheme="minorEastAsia" w:hAnsiTheme="minorEastAsia" w:eastAsiaTheme="minorEastAsia" w:cstheme="minorEastAsia"/>
                <w:sz w:val="24"/>
                <w:szCs w:val="24"/>
              </w:rPr>
            </w:pPr>
            <w:r>
              <w:rPr>
                <w:rFonts w:hint="eastAsia" w:ascii="宋体" w:hAnsi="宋体" w:eastAsia="宋体" w:cs="宋体"/>
                <w:color w:val="000000" w:themeColor="text1"/>
                <w:sz w:val="24"/>
                <w:szCs w:val="24"/>
                <w14:textFill>
                  <w14:solidFill>
                    <w14:schemeClr w14:val="tx1"/>
                  </w14:solidFill>
                </w14:textFill>
              </w:rPr>
              <w:t>质量要求</w:t>
            </w:r>
          </w:p>
        </w:tc>
        <w:tc>
          <w:tcPr>
            <w:tcW w:w="6724" w:type="dxa"/>
            <w:vAlign w:val="center"/>
          </w:tcPr>
          <w:p w14:paraId="119AA421">
            <w:pPr>
              <w:pageBreakBefore w:val="0"/>
              <w:kinsoku/>
              <w:wordWrap/>
              <w:overflowPunct/>
              <w:topLinePunct w:val="0"/>
              <w:bidi w:val="0"/>
              <w:snapToGrid w:val="0"/>
              <w:spacing w:line="300" w:lineRule="auto"/>
              <w:jc w:val="left"/>
              <w:textAlignment w:val="auto"/>
              <w:rPr>
                <w:rFonts w:hint="eastAsia" w:asciiTheme="minorEastAsia" w:hAnsiTheme="minorEastAsia" w:eastAsiaTheme="minorEastAsia" w:cstheme="minorEastAsia"/>
                <w:sz w:val="24"/>
                <w:szCs w:val="24"/>
              </w:rPr>
            </w:pPr>
            <w:r>
              <w:rPr>
                <w:rFonts w:hint="eastAsia" w:ascii="宋体" w:hAnsi="宋体"/>
                <w:b/>
                <w:bCs/>
                <w:sz w:val="24"/>
                <w:szCs w:val="24"/>
              </w:rPr>
              <w:t>详合同专用条款</w:t>
            </w:r>
          </w:p>
        </w:tc>
      </w:tr>
      <w:tr w14:paraId="06579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5A531601">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p>
        </w:tc>
        <w:tc>
          <w:tcPr>
            <w:tcW w:w="1935" w:type="dxa"/>
            <w:vAlign w:val="center"/>
          </w:tcPr>
          <w:p w14:paraId="5673C63C">
            <w:pPr>
              <w:pageBreakBefore w:val="0"/>
              <w:kinsoku/>
              <w:wordWrap/>
              <w:overflowPunct/>
              <w:topLinePunct w:val="0"/>
              <w:bidi w:val="0"/>
              <w:snapToGrid w:val="0"/>
              <w:spacing w:line="300" w:lineRule="auto"/>
              <w:jc w:val="left"/>
              <w:textAlignment w:val="auto"/>
              <w:rPr>
                <w:rFonts w:hint="default" w:asciiTheme="minorEastAsia" w:hAnsiTheme="minorEastAsia" w:eastAsiaTheme="minorEastAsia" w:cstheme="minorEastAsia"/>
                <w:sz w:val="24"/>
                <w:szCs w:val="24"/>
                <w:lang w:val="en-US" w:eastAsia="zh-CN"/>
              </w:rPr>
            </w:pPr>
            <w:r>
              <w:rPr>
                <w:rFonts w:hint="eastAsia" w:ascii="宋体" w:hAnsi="宋体" w:cs="宋体"/>
                <w:color w:val="000000" w:themeColor="text1"/>
                <w:sz w:val="24"/>
                <w:szCs w:val="24"/>
                <w:lang w:val="en-US" w:eastAsia="zh-CN"/>
                <w14:textFill>
                  <w14:solidFill>
                    <w14:schemeClr w14:val="tx1"/>
                  </w14:solidFill>
                </w14:textFill>
              </w:rPr>
              <w:t>服务期限</w:t>
            </w:r>
          </w:p>
        </w:tc>
        <w:tc>
          <w:tcPr>
            <w:tcW w:w="6724" w:type="dxa"/>
            <w:vAlign w:val="center"/>
          </w:tcPr>
          <w:p w14:paraId="4C895CD4">
            <w:pPr>
              <w:pStyle w:val="20"/>
              <w:pageBreakBefore w:val="0"/>
              <w:kinsoku/>
              <w:wordWrap/>
              <w:overflowPunct/>
              <w:topLinePunct w:val="0"/>
              <w:bidi w:val="0"/>
              <w:spacing w:line="300" w:lineRule="auto"/>
              <w:jc w:val="left"/>
              <w:textAlignment w:val="auto"/>
              <w:rPr>
                <w:rFonts w:hint="eastAsia" w:asciiTheme="minorEastAsia" w:hAnsiTheme="minorEastAsia" w:eastAsiaTheme="minorEastAsia" w:cstheme="minorEastAsia"/>
                <w:sz w:val="24"/>
                <w:szCs w:val="24"/>
                <w:highlight w:val="none"/>
                <w:lang w:eastAsia="zh-CN"/>
              </w:rPr>
            </w:pPr>
            <w:r>
              <w:rPr>
                <w:rFonts w:hint="eastAsia" w:ascii="宋体" w:hAnsi="宋体"/>
                <w:b w:val="0"/>
                <w:bCs/>
                <w:sz w:val="24"/>
                <w:szCs w:val="24"/>
                <w:highlight w:val="none"/>
                <w:lang w:val="en-US" w:eastAsia="zh-CN"/>
              </w:rPr>
              <w:t>总服务期限</w:t>
            </w:r>
            <w:r>
              <w:rPr>
                <w:rFonts w:hint="eastAsia" w:ascii="宋体" w:hAnsi="宋体"/>
                <w:b w:val="0"/>
                <w:bCs/>
                <w:sz w:val="24"/>
                <w:szCs w:val="24"/>
                <w:highlight w:val="none"/>
                <w:u w:val="single"/>
                <w:lang w:val="en-US" w:eastAsia="zh-CN"/>
              </w:rPr>
              <w:t>18个月</w:t>
            </w:r>
            <w:r>
              <w:rPr>
                <w:rFonts w:hint="eastAsia" w:ascii="宋体" w:hAnsi="宋体"/>
                <w:b w:val="0"/>
                <w:bCs/>
                <w:sz w:val="24"/>
                <w:szCs w:val="24"/>
                <w:highlight w:val="none"/>
                <w:lang w:val="en-US" w:eastAsia="zh-CN"/>
              </w:rPr>
              <w:t>，自</w:t>
            </w:r>
            <w:r>
              <w:rPr>
                <w:rFonts w:hint="eastAsia" w:ascii="宋体" w:hAnsi="宋体"/>
                <w:b w:val="0"/>
                <w:bCs/>
                <w:sz w:val="24"/>
                <w:szCs w:val="24"/>
                <w:highlight w:val="none"/>
                <w:u w:val="single"/>
                <w:lang w:val="en-US" w:eastAsia="zh-CN"/>
              </w:rPr>
              <w:t>2024年12月20日</w:t>
            </w:r>
            <w:r>
              <w:rPr>
                <w:rFonts w:hint="eastAsia" w:ascii="宋体" w:hAnsi="宋体"/>
                <w:b w:val="0"/>
                <w:bCs/>
                <w:sz w:val="24"/>
                <w:szCs w:val="24"/>
                <w:highlight w:val="none"/>
                <w:u w:val="none"/>
                <w:lang w:val="en-US" w:eastAsia="zh-CN"/>
              </w:rPr>
              <w:t>开始</w:t>
            </w:r>
            <w:r>
              <w:rPr>
                <w:rFonts w:hint="eastAsia" w:ascii="宋体" w:hAnsi="宋体"/>
                <w:b w:val="0"/>
                <w:bCs/>
                <w:sz w:val="24"/>
                <w:szCs w:val="24"/>
                <w:highlight w:val="none"/>
                <w:lang w:val="en-US" w:eastAsia="zh-CN"/>
              </w:rPr>
              <w:t>至</w:t>
            </w:r>
            <w:r>
              <w:rPr>
                <w:rFonts w:hint="eastAsia" w:ascii="宋体" w:hAnsi="宋体"/>
                <w:b w:val="0"/>
                <w:bCs/>
                <w:sz w:val="24"/>
                <w:szCs w:val="24"/>
                <w:highlight w:val="none"/>
                <w:u w:val="single"/>
                <w:lang w:val="en-US" w:eastAsia="zh-CN"/>
              </w:rPr>
              <w:t>2026年6月20日</w:t>
            </w:r>
            <w:r>
              <w:rPr>
                <w:rFonts w:hint="eastAsia" w:ascii="宋体" w:hAnsi="宋体"/>
                <w:b w:val="0"/>
                <w:bCs/>
                <w:sz w:val="24"/>
                <w:szCs w:val="24"/>
                <w:highlight w:val="none"/>
                <w:lang w:val="en-US" w:eastAsia="zh-CN"/>
              </w:rPr>
              <w:t>结束，缺陷责任期2年。</w:t>
            </w:r>
          </w:p>
        </w:tc>
      </w:tr>
      <w:tr w14:paraId="66B3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Merge w:val="restart"/>
            <w:vAlign w:val="center"/>
          </w:tcPr>
          <w:p w14:paraId="20B60B6D">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7</w:t>
            </w:r>
          </w:p>
        </w:tc>
        <w:tc>
          <w:tcPr>
            <w:tcW w:w="1935" w:type="dxa"/>
            <w:vMerge w:val="restart"/>
            <w:vAlign w:val="center"/>
          </w:tcPr>
          <w:p w14:paraId="7D8112C7">
            <w:pPr>
              <w:snapToGrid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招标范围及标段划分</w:t>
            </w:r>
          </w:p>
        </w:tc>
        <w:tc>
          <w:tcPr>
            <w:tcW w:w="6724" w:type="dxa"/>
            <w:vAlign w:val="center"/>
          </w:tcPr>
          <w:p w14:paraId="195904FB">
            <w:pPr>
              <w:snapToGrid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rPr>
              <w:t>招标范围：</w:t>
            </w:r>
            <w:r>
              <w:rPr>
                <w:rFonts w:hint="eastAsia" w:ascii="宋体" w:hAnsi="宋体"/>
                <w:b w:val="0"/>
                <w:bCs w:val="0"/>
                <w:sz w:val="24"/>
                <w:szCs w:val="24"/>
                <w:highlight w:val="none"/>
                <w:u w:val="single"/>
                <w:lang w:val="en-US" w:eastAsia="zh-CN"/>
              </w:rPr>
              <w:t>全过程监理咨询服务，包括但不限于建筑工程、市政工程、安装工程、装饰装修工程、园林工程及景观劳务分包等全部内容的</w:t>
            </w:r>
            <w:r>
              <w:rPr>
                <w:rFonts w:hint="default" w:ascii="宋体" w:hAnsi="宋体"/>
                <w:b w:val="0"/>
                <w:bCs w:val="0"/>
                <w:sz w:val="24"/>
                <w:szCs w:val="24"/>
                <w:highlight w:val="none"/>
                <w:u w:val="single"/>
                <w:lang w:val="en-US" w:eastAsia="zh-CN"/>
              </w:rPr>
              <w:t>工程全过程</w:t>
            </w:r>
            <w:r>
              <w:rPr>
                <w:rFonts w:hint="eastAsia" w:ascii="宋体" w:hAnsi="宋体"/>
                <w:b w:val="0"/>
                <w:bCs w:val="0"/>
                <w:sz w:val="24"/>
                <w:szCs w:val="24"/>
                <w:highlight w:val="none"/>
                <w:u w:val="single"/>
                <w:lang w:val="en-US" w:eastAsia="zh-CN"/>
              </w:rPr>
              <w:t>监理咨询服务</w:t>
            </w:r>
            <w:r>
              <w:rPr>
                <w:rFonts w:hint="eastAsia" w:ascii="宋体" w:hAnsi="宋体"/>
                <w:b w:val="0"/>
                <w:bCs w:val="0"/>
                <w:sz w:val="24"/>
                <w:szCs w:val="24"/>
                <w:highlight w:val="none"/>
                <w:lang w:val="en-US" w:eastAsia="zh-CN"/>
              </w:rPr>
              <w:t>；</w:t>
            </w:r>
          </w:p>
        </w:tc>
      </w:tr>
      <w:tr w14:paraId="42DA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Merge w:val="continue"/>
            <w:vAlign w:val="center"/>
          </w:tcPr>
          <w:p w14:paraId="49EB0E9D">
            <w:pPr>
              <w:snapToGrid w:val="0"/>
              <w:spacing w:line="360" w:lineRule="auto"/>
              <w:jc w:val="center"/>
              <w:rPr>
                <w:rFonts w:hint="eastAsia" w:asciiTheme="minorEastAsia" w:hAnsiTheme="minorEastAsia" w:eastAsiaTheme="minorEastAsia" w:cstheme="minorEastAsia"/>
                <w:sz w:val="24"/>
                <w:szCs w:val="24"/>
              </w:rPr>
            </w:pPr>
          </w:p>
        </w:tc>
        <w:tc>
          <w:tcPr>
            <w:tcW w:w="1935" w:type="dxa"/>
            <w:vMerge w:val="continue"/>
            <w:vAlign w:val="center"/>
          </w:tcPr>
          <w:p w14:paraId="7545935E">
            <w:pPr>
              <w:snapToGrid w:val="0"/>
              <w:spacing w:line="360" w:lineRule="auto"/>
              <w:jc w:val="left"/>
              <w:rPr>
                <w:rFonts w:hint="eastAsia" w:asciiTheme="minorEastAsia" w:hAnsiTheme="minorEastAsia" w:eastAsiaTheme="minorEastAsia" w:cstheme="minorEastAsia"/>
                <w:sz w:val="24"/>
                <w:szCs w:val="24"/>
              </w:rPr>
            </w:pPr>
          </w:p>
        </w:tc>
        <w:tc>
          <w:tcPr>
            <w:tcW w:w="6724" w:type="dxa"/>
            <w:vAlign w:val="center"/>
          </w:tcPr>
          <w:p w14:paraId="7ADAEEF0">
            <w:pPr>
              <w:snapToGrid w:val="0"/>
              <w:spacing w:line="360" w:lineRule="auto"/>
              <w:jc w:val="both"/>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标段划分：拟招标工程内容将按</w:t>
            </w:r>
            <w:r>
              <w:rPr>
                <w:rFonts w:hint="eastAsia" w:asciiTheme="minorEastAsia" w:hAnsiTheme="minorEastAsia" w:eastAsiaTheme="minorEastAsia" w:cstheme="minorEastAsia"/>
                <w:b/>
                <w:sz w:val="24"/>
                <w:szCs w:val="24"/>
                <w:highlight w:val="none"/>
                <w:u w:val="single"/>
              </w:rPr>
              <w:t>壹</w:t>
            </w:r>
            <w:r>
              <w:rPr>
                <w:rFonts w:hint="eastAsia" w:asciiTheme="minorEastAsia" w:hAnsiTheme="minorEastAsia" w:eastAsiaTheme="minorEastAsia" w:cstheme="minorEastAsia"/>
                <w:sz w:val="24"/>
                <w:szCs w:val="24"/>
                <w:highlight w:val="none"/>
              </w:rPr>
              <w:t>个标段进行招标。</w:t>
            </w:r>
          </w:p>
        </w:tc>
      </w:tr>
      <w:tr w14:paraId="4A95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2CF04987">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8</w:t>
            </w:r>
          </w:p>
        </w:tc>
        <w:tc>
          <w:tcPr>
            <w:tcW w:w="1935" w:type="dxa"/>
            <w:vAlign w:val="center"/>
          </w:tcPr>
          <w:p w14:paraId="190FA216">
            <w:pPr>
              <w:snapToGrid w:val="0"/>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投标人资质要求</w:t>
            </w:r>
          </w:p>
        </w:tc>
        <w:tc>
          <w:tcPr>
            <w:tcW w:w="6724" w:type="dxa"/>
            <w:vAlign w:val="center"/>
          </w:tcPr>
          <w:p w14:paraId="170033A2">
            <w:pPr>
              <w:snapToGrid w:val="0"/>
              <w:spacing w:line="360" w:lineRule="auto"/>
              <w:jc w:val="both"/>
              <w:rPr>
                <w:rFonts w:hint="default" w:eastAsia="宋体" w:asciiTheme="minorEastAsia" w:hAnsiTheme="minorEastAsia" w:cstheme="minorEastAsia"/>
                <w:sz w:val="24"/>
                <w:szCs w:val="24"/>
                <w:highlight w:val="none"/>
                <w:u w:val="single"/>
                <w:lang w:val="en-US" w:eastAsia="zh-CN"/>
              </w:rPr>
            </w:pPr>
            <w:r>
              <w:rPr>
                <w:rFonts w:hint="eastAsia" w:ascii="宋体" w:hAnsi="宋体" w:eastAsia="宋体" w:cs="宋体"/>
                <w:b w:val="0"/>
                <w:bCs w:val="0"/>
                <w:kern w:val="2"/>
                <w:sz w:val="24"/>
                <w:szCs w:val="24"/>
                <w:u w:val="single"/>
                <w:lang w:val="en-US" w:eastAsia="zh-CN"/>
              </w:rPr>
              <w:t>房屋建筑工程监理甲级</w:t>
            </w:r>
            <w:r>
              <w:rPr>
                <w:rFonts w:hint="eastAsia" w:ascii="宋体" w:hAnsi="宋体" w:eastAsia="宋体" w:cs="宋体"/>
                <w:b w:val="0"/>
                <w:bCs w:val="0"/>
                <w:kern w:val="2"/>
                <w:sz w:val="24"/>
                <w:szCs w:val="24"/>
                <w:lang w:val="en-US" w:eastAsia="zh-CN"/>
              </w:rPr>
              <w:t>（需按要求提供项目负责人及相关管理人员近3年业绩证明及公司参保证明）</w:t>
            </w:r>
            <w:r>
              <w:rPr>
                <w:rFonts w:hint="eastAsia" w:ascii="宋体" w:hAnsi="宋体" w:eastAsia="宋体" w:cs="宋体"/>
                <w:b/>
                <w:bCs/>
                <w:kern w:val="2"/>
                <w:sz w:val="24"/>
                <w:szCs w:val="24"/>
                <w:lang w:val="en-US" w:eastAsia="zh-CN"/>
              </w:rPr>
              <w:t>。</w:t>
            </w:r>
          </w:p>
        </w:tc>
      </w:tr>
      <w:tr w14:paraId="7036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15490CB6">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9</w:t>
            </w:r>
          </w:p>
        </w:tc>
        <w:tc>
          <w:tcPr>
            <w:tcW w:w="1935" w:type="dxa"/>
            <w:vAlign w:val="center"/>
          </w:tcPr>
          <w:p w14:paraId="2DAE6D55">
            <w:pPr>
              <w:snapToGrid w:val="0"/>
              <w:spacing w:line="360" w:lineRule="auto"/>
              <w:jc w:val="left"/>
              <w:rPr>
                <w:rFonts w:hint="eastAsia" w:asciiTheme="minorEastAsia" w:hAnsiTheme="minorEastAsia" w:eastAsiaTheme="minorEastAsia" w:cstheme="minorEastAsia"/>
                <w:sz w:val="24"/>
                <w:szCs w:val="24"/>
              </w:rPr>
            </w:pPr>
            <w:r>
              <w:rPr>
                <w:rFonts w:hint="eastAsia" w:ascii="宋体" w:hAnsi="宋体" w:eastAsia="宋体" w:cs="宋体"/>
                <w:color w:val="000000" w:themeColor="text1"/>
                <w:sz w:val="24"/>
                <w:szCs w:val="24"/>
                <w14:textFill>
                  <w14:solidFill>
                    <w14:schemeClr w14:val="tx1"/>
                  </w14:solidFill>
                </w14:textFill>
              </w:rPr>
              <w:t>招标日程安排</w:t>
            </w:r>
          </w:p>
        </w:tc>
        <w:tc>
          <w:tcPr>
            <w:tcW w:w="6724" w:type="dxa"/>
            <w:vAlign w:val="center"/>
          </w:tcPr>
          <w:p w14:paraId="32AB0116">
            <w:pPr>
              <w:pStyle w:val="20"/>
              <w:pageBreakBefore w:val="0"/>
              <w:numPr>
                <w:ilvl w:val="0"/>
                <w:numId w:val="0"/>
              </w:numPr>
              <w:kinsoku/>
              <w:wordWrap/>
              <w:overflowPunct/>
              <w:topLinePunct w:val="0"/>
              <w:bidi w:val="0"/>
              <w:spacing w:line="300" w:lineRule="auto"/>
              <w:ind w:leftChars="0"/>
              <w:textAlignment w:val="auto"/>
              <w:rPr>
                <w:rFonts w:hint="eastAsia" w:ascii="宋体" w:hAnsi="宋体" w:eastAsia="宋体" w:cs="宋体"/>
                <w:sz w:val="24"/>
                <w:szCs w:val="24"/>
                <w:lang w:val="en-US" w:eastAsia="zh-CN"/>
              </w:rPr>
            </w:pPr>
            <w:r>
              <w:rPr>
                <w:rFonts w:hint="eastAsia" w:hAnsi="宋体" w:cs="宋体"/>
                <w:sz w:val="24"/>
                <w:szCs w:val="24"/>
                <w:highlight w:val="none"/>
                <w:lang w:val="en-US" w:eastAsia="zh-CN"/>
              </w:rPr>
              <w:t>1.</w:t>
            </w:r>
            <w:r>
              <w:rPr>
                <w:rFonts w:hint="eastAsia" w:ascii="宋体" w:hAnsi="宋体" w:eastAsia="宋体" w:cs="宋体"/>
                <w:sz w:val="24"/>
                <w:szCs w:val="24"/>
                <w:highlight w:val="none"/>
                <w:lang w:val="en-US" w:eastAsia="zh-CN"/>
              </w:rPr>
              <w:t>请于</w:t>
            </w:r>
            <w:r>
              <w:rPr>
                <w:rFonts w:hint="eastAsia" w:hAnsi="宋体" w:cs="宋体"/>
                <w:b/>
                <w:bCs/>
                <w:sz w:val="24"/>
                <w:szCs w:val="24"/>
                <w:highlight w:val="none"/>
                <w:u w:val="single"/>
                <w:lang w:val="en-US" w:eastAsia="zh-CN"/>
              </w:rPr>
              <w:t>2024</w:t>
            </w:r>
            <w:r>
              <w:rPr>
                <w:rFonts w:hint="eastAsia" w:ascii="宋体" w:hAnsi="宋体" w:eastAsia="宋体" w:cs="宋体"/>
                <w:b/>
                <w:bCs/>
                <w:sz w:val="24"/>
                <w:szCs w:val="24"/>
                <w:highlight w:val="none"/>
                <w:u w:val="single"/>
                <w:lang w:val="en-US" w:eastAsia="zh-CN"/>
              </w:rPr>
              <w:t>年</w:t>
            </w:r>
            <w:r>
              <w:rPr>
                <w:rFonts w:hint="eastAsia" w:hAnsi="宋体" w:cs="宋体"/>
                <w:b/>
                <w:bCs/>
                <w:sz w:val="24"/>
                <w:szCs w:val="24"/>
                <w:highlight w:val="none"/>
                <w:u w:val="single"/>
                <w:lang w:val="en-US" w:eastAsia="zh-CN"/>
              </w:rPr>
              <w:t>12</w:t>
            </w:r>
            <w:r>
              <w:rPr>
                <w:rFonts w:hint="eastAsia" w:ascii="宋体" w:hAnsi="宋体" w:eastAsia="宋体" w:cs="宋体"/>
                <w:b/>
                <w:bCs/>
                <w:sz w:val="24"/>
                <w:szCs w:val="24"/>
                <w:highlight w:val="none"/>
                <w:u w:val="single"/>
                <w:lang w:val="en-US" w:eastAsia="zh-CN"/>
              </w:rPr>
              <w:t>月</w:t>
            </w:r>
            <w:r>
              <w:rPr>
                <w:rFonts w:hint="eastAsia" w:hAnsi="宋体" w:cs="宋体"/>
                <w:b/>
                <w:bCs/>
                <w:sz w:val="24"/>
                <w:szCs w:val="24"/>
                <w:highlight w:val="none"/>
                <w:u w:val="single"/>
                <w:lang w:val="en-US" w:eastAsia="zh-CN"/>
              </w:rPr>
              <w:t>6</w:t>
            </w:r>
            <w:r>
              <w:rPr>
                <w:rFonts w:hint="eastAsia" w:ascii="宋体" w:hAnsi="宋体" w:eastAsia="宋体" w:cs="宋体"/>
                <w:b/>
                <w:bCs/>
                <w:sz w:val="24"/>
                <w:szCs w:val="24"/>
                <w:highlight w:val="none"/>
                <w:u w:val="single"/>
                <w:lang w:val="en-US" w:eastAsia="zh-CN"/>
              </w:rPr>
              <w:t>日</w:t>
            </w:r>
            <w:r>
              <w:rPr>
                <w:rFonts w:hint="eastAsia" w:hAnsi="宋体" w:cs="宋体"/>
                <w:b/>
                <w:bCs/>
                <w:sz w:val="24"/>
                <w:szCs w:val="24"/>
                <w:highlight w:val="none"/>
                <w:u w:val="single"/>
                <w:lang w:val="en-US" w:eastAsia="zh-CN"/>
              </w:rPr>
              <w:t>14:00</w:t>
            </w:r>
            <w:r>
              <w:rPr>
                <w:rFonts w:hint="eastAsia" w:ascii="宋体" w:hAnsi="宋体" w:eastAsia="宋体" w:cs="宋体"/>
                <w:b/>
                <w:bCs/>
                <w:sz w:val="24"/>
                <w:szCs w:val="24"/>
                <w:highlight w:val="none"/>
                <w:u w:val="single"/>
                <w:lang w:val="en-US" w:eastAsia="zh-CN"/>
              </w:rPr>
              <w:t>时</w:t>
            </w:r>
            <w:r>
              <w:rPr>
                <w:rFonts w:hint="eastAsia" w:ascii="宋体" w:hAnsi="宋体" w:eastAsia="宋体" w:cs="宋体"/>
                <w:sz w:val="24"/>
                <w:szCs w:val="24"/>
                <w:highlight w:val="none"/>
                <w:lang w:val="en-US" w:eastAsia="zh-CN"/>
              </w:rPr>
              <w:t>前，</w:t>
            </w:r>
            <w:r>
              <w:rPr>
                <w:rFonts w:hint="eastAsia" w:ascii="宋体" w:hAnsi="宋体" w:eastAsia="宋体" w:cs="宋体"/>
                <w:sz w:val="24"/>
                <w:szCs w:val="24"/>
                <w:lang w:val="en-US" w:eastAsia="zh-CN"/>
              </w:rPr>
              <w:t>在</w:t>
            </w:r>
            <w:r>
              <w:rPr>
                <w:rFonts w:hint="eastAsia" w:hAnsi="宋体" w:cs="宋体"/>
                <w:sz w:val="24"/>
                <w:szCs w:val="24"/>
                <w:lang w:val="en-US" w:eastAsia="zh-CN"/>
              </w:rPr>
              <w:t>重庆</w:t>
            </w:r>
            <w:r>
              <w:rPr>
                <w:rFonts w:hint="eastAsia" w:ascii="宋体" w:hAnsi="宋体" w:eastAsia="宋体" w:cs="宋体"/>
                <w:sz w:val="24"/>
                <w:szCs w:val="24"/>
                <w:lang w:val="en-US" w:eastAsia="zh-CN"/>
              </w:rPr>
              <w:t>海联职业技术学院（地址：两江新区龙兴工业园两江大道北延段（龙兴V组团标准分区V10-1/01）项目办公室）领取招标文件。</w:t>
            </w:r>
          </w:p>
          <w:p w14:paraId="67A17261">
            <w:pPr>
              <w:pStyle w:val="20"/>
              <w:pageBreakBefore w:val="0"/>
              <w:numPr>
                <w:ilvl w:val="0"/>
                <w:numId w:val="0"/>
              </w:numPr>
              <w:kinsoku/>
              <w:wordWrap/>
              <w:overflowPunct/>
              <w:topLinePunct w:val="0"/>
              <w:bidi w:val="0"/>
              <w:spacing w:line="300" w:lineRule="auto"/>
              <w:ind w:leftChars="0"/>
              <w:textAlignment w:val="auto"/>
              <w:rPr>
                <w:rFonts w:hint="eastAsia" w:ascii="宋体" w:hAnsi="宋体" w:eastAsia="宋体" w:cs="宋体"/>
                <w:sz w:val="24"/>
                <w:szCs w:val="24"/>
                <w:highlight w:val="none"/>
                <w:lang w:val="en-US" w:eastAsia="zh-CN"/>
              </w:rPr>
            </w:pPr>
            <w:r>
              <w:rPr>
                <w:rFonts w:hint="eastAsia" w:hAnsi="宋体" w:cs="宋体"/>
                <w:sz w:val="24"/>
                <w:szCs w:val="24"/>
                <w:highlight w:val="none"/>
                <w:lang w:val="en-US" w:eastAsia="zh-CN"/>
              </w:rPr>
              <w:t>2.</w:t>
            </w:r>
            <w:r>
              <w:rPr>
                <w:rFonts w:hint="eastAsia" w:ascii="宋体" w:hAnsi="宋体" w:eastAsia="宋体" w:cs="宋体"/>
                <w:sz w:val="24"/>
                <w:szCs w:val="24"/>
                <w:highlight w:val="none"/>
                <w:lang w:val="en-US" w:eastAsia="zh-CN"/>
              </w:rPr>
              <w:t>投标人自行完成现场踏勘</w:t>
            </w:r>
            <w:r>
              <w:rPr>
                <w:rFonts w:hint="eastAsia" w:hAnsi="宋体" w:cs="宋体"/>
                <w:sz w:val="24"/>
                <w:szCs w:val="24"/>
                <w:highlight w:val="none"/>
                <w:lang w:val="en-US" w:eastAsia="zh-CN"/>
              </w:rPr>
              <w:t>。</w:t>
            </w:r>
          </w:p>
          <w:p w14:paraId="107B55D4">
            <w:pPr>
              <w:pStyle w:val="20"/>
              <w:pageBreakBefore w:val="0"/>
              <w:numPr>
                <w:ilvl w:val="0"/>
                <w:numId w:val="0"/>
              </w:numPr>
              <w:kinsoku/>
              <w:wordWrap/>
              <w:overflowPunct/>
              <w:topLinePunct w:val="0"/>
              <w:bidi w:val="0"/>
              <w:spacing w:line="300" w:lineRule="auto"/>
              <w:ind w:leftChars="0"/>
              <w:textAlignment w:val="auto"/>
              <w:rPr>
                <w:rFonts w:hint="eastAsia" w:ascii="宋体" w:hAnsi="宋体" w:eastAsia="宋体" w:cs="宋体"/>
                <w:sz w:val="24"/>
                <w:szCs w:val="24"/>
                <w:highlight w:val="none"/>
                <w:lang w:val="en-US" w:eastAsia="zh-CN"/>
              </w:rPr>
            </w:pPr>
            <w:r>
              <w:rPr>
                <w:rFonts w:hint="eastAsia" w:hAnsi="宋体" w:cs="宋体"/>
                <w:sz w:val="24"/>
                <w:szCs w:val="24"/>
                <w:highlight w:val="none"/>
                <w:lang w:val="en-US" w:eastAsia="zh-CN"/>
              </w:rPr>
              <w:t>3.</w:t>
            </w:r>
            <w:r>
              <w:rPr>
                <w:rFonts w:hint="eastAsia" w:ascii="宋体" w:hAnsi="宋体" w:eastAsia="宋体" w:cs="宋体"/>
                <w:sz w:val="24"/>
                <w:szCs w:val="24"/>
                <w:highlight w:val="none"/>
                <w:lang w:val="en-US" w:eastAsia="zh-CN"/>
              </w:rPr>
              <w:t>联系人：</w:t>
            </w:r>
            <w:r>
              <w:rPr>
                <w:rFonts w:hint="eastAsia" w:hAnsi="宋体" w:cs="宋体"/>
                <w:sz w:val="24"/>
                <w:szCs w:val="24"/>
                <w:highlight w:val="none"/>
                <w:lang w:val="en-US" w:eastAsia="zh-CN"/>
              </w:rPr>
              <w:t>葛希凤</w:t>
            </w:r>
            <w:r>
              <w:rPr>
                <w:rFonts w:hint="eastAsia" w:ascii="宋体" w:hAnsi="宋体" w:eastAsia="宋体" w:cs="宋体"/>
                <w:sz w:val="24"/>
                <w:szCs w:val="24"/>
                <w:highlight w:val="none"/>
                <w:lang w:val="en-US" w:eastAsia="zh-CN"/>
              </w:rPr>
              <w:t>，联系电话：</w:t>
            </w:r>
            <w:r>
              <w:rPr>
                <w:rFonts w:hint="eastAsia" w:hAnsi="宋体" w:cs="宋体"/>
                <w:sz w:val="24"/>
                <w:szCs w:val="24"/>
                <w:highlight w:val="none"/>
                <w:lang w:val="en-US" w:eastAsia="zh-CN"/>
              </w:rPr>
              <w:t>15923355274</w:t>
            </w:r>
            <w:r>
              <w:rPr>
                <w:rFonts w:hint="eastAsia" w:ascii="宋体" w:hAnsi="宋体" w:eastAsia="宋体" w:cs="宋体"/>
                <w:sz w:val="24"/>
                <w:szCs w:val="24"/>
                <w:highlight w:val="none"/>
                <w:lang w:val="en-US" w:eastAsia="zh-CN"/>
              </w:rPr>
              <w:t>。</w:t>
            </w:r>
          </w:p>
          <w:p w14:paraId="026B1285">
            <w:pPr>
              <w:pStyle w:val="20"/>
              <w:pageBreakBefore w:val="0"/>
              <w:numPr>
                <w:ilvl w:val="0"/>
                <w:numId w:val="0"/>
              </w:numPr>
              <w:kinsoku/>
              <w:wordWrap/>
              <w:overflowPunct/>
              <w:topLinePunct w:val="0"/>
              <w:bidi w:val="0"/>
              <w:spacing w:line="300" w:lineRule="auto"/>
              <w:ind w:leftChars="0"/>
              <w:textAlignment w:val="auto"/>
              <w:rPr>
                <w:rFonts w:hint="eastAsia" w:ascii="宋体" w:hAnsi="宋体" w:eastAsia="宋体" w:cs="宋体"/>
                <w:sz w:val="24"/>
                <w:szCs w:val="24"/>
                <w:highlight w:val="none"/>
                <w:u w:val="none"/>
                <w:lang w:val="en-US" w:eastAsia="zh-CN"/>
              </w:rPr>
            </w:pPr>
            <w:r>
              <w:rPr>
                <w:rFonts w:hint="eastAsia" w:hAnsi="宋体" w:cs="宋体"/>
                <w:sz w:val="24"/>
                <w:szCs w:val="24"/>
                <w:highlight w:val="none"/>
                <w:lang w:val="en-US" w:eastAsia="zh-CN"/>
              </w:rPr>
              <w:t>4.</w:t>
            </w:r>
            <w:r>
              <w:rPr>
                <w:rFonts w:hint="eastAsia" w:ascii="宋体" w:hAnsi="宋体" w:eastAsia="宋体" w:cs="宋体"/>
                <w:sz w:val="24"/>
                <w:szCs w:val="24"/>
                <w:highlight w:val="none"/>
                <w:lang w:val="en-US" w:eastAsia="zh-CN"/>
              </w:rPr>
              <w:t>请于</w:t>
            </w:r>
            <w:r>
              <w:rPr>
                <w:rFonts w:hint="eastAsia" w:ascii="宋体" w:hAnsi="宋体" w:eastAsia="宋体" w:cs="宋体"/>
                <w:b/>
                <w:bCs/>
                <w:sz w:val="24"/>
                <w:szCs w:val="24"/>
                <w:highlight w:val="none"/>
                <w:u w:val="single"/>
                <w:lang w:val="en-US" w:eastAsia="zh-CN"/>
              </w:rPr>
              <w:t>2024年</w:t>
            </w:r>
            <w:r>
              <w:rPr>
                <w:rFonts w:hint="eastAsia" w:hAnsi="宋体" w:cs="宋体"/>
                <w:b/>
                <w:bCs/>
                <w:sz w:val="24"/>
                <w:szCs w:val="24"/>
                <w:highlight w:val="none"/>
                <w:u w:val="single"/>
                <w:lang w:val="en-US" w:eastAsia="zh-CN"/>
              </w:rPr>
              <w:t>12</w:t>
            </w:r>
            <w:r>
              <w:rPr>
                <w:rFonts w:hint="eastAsia" w:ascii="宋体" w:hAnsi="宋体" w:eastAsia="宋体" w:cs="宋体"/>
                <w:b/>
                <w:bCs/>
                <w:sz w:val="24"/>
                <w:szCs w:val="24"/>
                <w:highlight w:val="none"/>
                <w:u w:val="single"/>
                <w:lang w:val="en-US" w:eastAsia="zh-CN"/>
              </w:rPr>
              <w:t>月</w:t>
            </w:r>
            <w:r>
              <w:rPr>
                <w:rFonts w:hint="eastAsia" w:hAnsi="宋体" w:cs="宋体"/>
                <w:b/>
                <w:bCs/>
                <w:sz w:val="24"/>
                <w:szCs w:val="24"/>
                <w:highlight w:val="none"/>
                <w:u w:val="single"/>
                <w:lang w:val="en-US" w:eastAsia="zh-CN"/>
              </w:rPr>
              <w:t>9</w:t>
            </w:r>
            <w:r>
              <w:rPr>
                <w:rFonts w:hint="eastAsia" w:ascii="宋体" w:hAnsi="宋体" w:eastAsia="宋体" w:cs="宋体"/>
                <w:b/>
                <w:bCs/>
                <w:sz w:val="24"/>
                <w:szCs w:val="24"/>
                <w:highlight w:val="none"/>
                <w:u w:val="single"/>
                <w:lang w:val="en-US" w:eastAsia="zh-CN"/>
              </w:rPr>
              <w:t>日 1</w:t>
            </w:r>
            <w:r>
              <w:rPr>
                <w:rFonts w:hint="eastAsia" w:hAnsi="宋体" w:cs="宋体"/>
                <w:b/>
                <w:bCs/>
                <w:sz w:val="24"/>
                <w:szCs w:val="24"/>
                <w:highlight w:val="none"/>
                <w:u w:val="single"/>
                <w:lang w:val="en-US" w:eastAsia="zh-CN"/>
              </w:rPr>
              <w:t>2</w:t>
            </w:r>
            <w:r>
              <w:rPr>
                <w:rFonts w:hint="eastAsia" w:ascii="宋体" w:hAnsi="宋体" w:eastAsia="宋体" w:cs="宋体"/>
                <w:b/>
                <w:bCs/>
                <w:sz w:val="24"/>
                <w:szCs w:val="24"/>
                <w:highlight w:val="none"/>
                <w:u w:val="single"/>
                <w:lang w:val="en-US" w:eastAsia="zh-CN"/>
              </w:rPr>
              <w:t xml:space="preserve">:00 </w:t>
            </w:r>
            <w:r>
              <w:rPr>
                <w:rFonts w:hint="eastAsia" w:ascii="宋体" w:hAnsi="宋体" w:eastAsia="宋体" w:cs="宋体"/>
                <w:sz w:val="24"/>
                <w:szCs w:val="24"/>
                <w:highlight w:val="none"/>
                <w:lang w:val="en-US" w:eastAsia="zh-CN"/>
              </w:rPr>
              <w:t>时前向招标人递交书面质疑（盖章版）；按上述时间将疑问发至以下邮箱cqhlzyxy@163.com；</w:t>
            </w:r>
            <w:r>
              <w:rPr>
                <w:rFonts w:hint="eastAsia" w:ascii="宋体" w:hAnsi="宋体" w:eastAsia="宋体" w:cs="宋体"/>
                <w:color w:val="000000" w:themeColor="text1"/>
                <w:sz w:val="24"/>
                <w:szCs w:val="24"/>
                <w:u w:val="none"/>
                <w14:textFill>
                  <w14:solidFill>
                    <w14:schemeClr w14:val="tx1"/>
                  </w14:solidFill>
                </w14:textFill>
              </w:rPr>
              <w:t>招标人根据书质疑以书面形式回答给各投标人</w:t>
            </w:r>
            <w:r>
              <w:rPr>
                <w:rFonts w:hint="eastAsia" w:ascii="宋体" w:hAnsi="宋体" w:eastAsia="宋体" w:cs="宋体"/>
                <w:color w:val="000000" w:themeColor="text1"/>
                <w:sz w:val="24"/>
                <w:szCs w:val="24"/>
                <w:u w:val="none"/>
                <w:lang w:eastAsia="zh-CN"/>
                <w14:textFill>
                  <w14:solidFill>
                    <w14:schemeClr w14:val="tx1"/>
                  </w14:solidFill>
                </w14:textFill>
              </w:rPr>
              <w:t>，</w:t>
            </w:r>
            <w:r>
              <w:rPr>
                <w:rFonts w:hint="eastAsia" w:ascii="宋体" w:hAnsi="宋体" w:eastAsia="宋体" w:cs="宋体"/>
                <w:color w:val="000000" w:themeColor="text1"/>
                <w:sz w:val="24"/>
                <w:szCs w:val="24"/>
                <w:u w:val="none"/>
                <w14:textFill>
                  <w14:solidFill>
                    <w14:schemeClr w14:val="tx1"/>
                  </w14:solidFill>
                </w14:textFill>
              </w:rPr>
              <w:t>并</w:t>
            </w:r>
            <w:r>
              <w:rPr>
                <w:rFonts w:hint="eastAsia" w:ascii="宋体" w:hAnsi="宋体" w:eastAsia="宋体" w:cs="宋体"/>
                <w:color w:val="000000" w:themeColor="text1"/>
                <w:sz w:val="24"/>
                <w:szCs w:val="24"/>
                <w:u w:val="none"/>
                <w:lang w:val="en-US" w:eastAsia="zh-CN"/>
                <w14:textFill>
                  <w14:solidFill>
                    <w14:schemeClr w14:val="tx1"/>
                  </w14:solidFill>
                </w14:textFill>
              </w:rPr>
              <w:t>以电子邮件方式</w:t>
            </w:r>
            <w:r>
              <w:rPr>
                <w:rFonts w:hint="eastAsia" w:ascii="宋体" w:hAnsi="宋体" w:eastAsia="宋体" w:cs="宋体"/>
                <w:color w:val="000000" w:themeColor="text1"/>
                <w:sz w:val="24"/>
                <w:szCs w:val="24"/>
                <w:u w:val="none"/>
                <w14:textFill>
                  <w14:solidFill>
                    <w14:schemeClr w14:val="tx1"/>
                  </w14:solidFill>
                </w14:textFill>
              </w:rPr>
              <w:t>发送给各投标人。</w:t>
            </w:r>
          </w:p>
          <w:p w14:paraId="13BB9376">
            <w:pPr>
              <w:snapToGrid w:val="0"/>
              <w:spacing w:line="360" w:lineRule="auto"/>
              <w:rPr>
                <w:rFonts w:hint="eastAsia" w:asciiTheme="minorEastAsia" w:hAnsiTheme="minorEastAsia" w:eastAsiaTheme="minorEastAsia" w:cstheme="minorEastAsia"/>
                <w:sz w:val="24"/>
                <w:szCs w:val="24"/>
                <w:highlight w:val="none"/>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val="en-US" w:eastAsia="zh-CN"/>
              </w:rPr>
              <w:t>请于</w:t>
            </w:r>
            <w:r>
              <w:rPr>
                <w:rFonts w:hint="eastAsia" w:ascii="宋体" w:hAnsi="宋体" w:eastAsia="宋体" w:cs="宋体"/>
                <w:b/>
                <w:bCs/>
                <w:color w:val="000000"/>
                <w:kern w:val="0"/>
                <w:sz w:val="24"/>
                <w:szCs w:val="24"/>
                <w:highlight w:val="none"/>
                <w:u w:val="single"/>
                <w:lang w:val="en-US" w:eastAsia="zh-CN" w:bidi="ar-SA"/>
              </w:rPr>
              <w:t>2024年1</w:t>
            </w:r>
            <w:r>
              <w:rPr>
                <w:rFonts w:hint="eastAsia" w:ascii="宋体" w:hAnsi="宋体" w:cs="宋体"/>
                <w:b/>
                <w:bCs/>
                <w:color w:val="000000"/>
                <w:kern w:val="0"/>
                <w:sz w:val="24"/>
                <w:szCs w:val="24"/>
                <w:highlight w:val="none"/>
                <w:u w:val="single"/>
                <w:lang w:val="en-US" w:eastAsia="zh-CN" w:bidi="ar-SA"/>
              </w:rPr>
              <w:t>2</w:t>
            </w:r>
            <w:r>
              <w:rPr>
                <w:rFonts w:hint="eastAsia" w:ascii="宋体" w:hAnsi="宋体" w:eastAsia="宋体" w:cs="宋体"/>
                <w:b/>
                <w:bCs/>
                <w:color w:val="000000"/>
                <w:kern w:val="0"/>
                <w:sz w:val="24"/>
                <w:szCs w:val="24"/>
                <w:highlight w:val="none"/>
                <w:u w:val="single"/>
                <w:lang w:val="en-US" w:eastAsia="zh-CN" w:bidi="ar-SA"/>
              </w:rPr>
              <w:t>月</w:t>
            </w:r>
            <w:r>
              <w:rPr>
                <w:rFonts w:hint="eastAsia" w:ascii="宋体" w:hAnsi="宋体" w:cs="宋体"/>
                <w:b/>
                <w:bCs/>
                <w:color w:val="000000"/>
                <w:kern w:val="0"/>
                <w:sz w:val="24"/>
                <w:szCs w:val="24"/>
                <w:highlight w:val="none"/>
                <w:u w:val="single"/>
                <w:lang w:val="en-US" w:eastAsia="zh-CN" w:bidi="ar-SA"/>
              </w:rPr>
              <w:t>16</w:t>
            </w:r>
            <w:r>
              <w:rPr>
                <w:rFonts w:hint="eastAsia" w:ascii="宋体" w:hAnsi="宋体" w:eastAsia="宋体" w:cs="宋体"/>
                <w:b/>
                <w:bCs/>
                <w:color w:val="000000"/>
                <w:kern w:val="0"/>
                <w:sz w:val="24"/>
                <w:szCs w:val="24"/>
                <w:highlight w:val="none"/>
                <w:u w:val="single"/>
                <w:lang w:val="en-US" w:eastAsia="zh-CN" w:bidi="ar-SA"/>
              </w:rPr>
              <w:t>日1</w:t>
            </w:r>
            <w:r>
              <w:rPr>
                <w:rFonts w:hint="eastAsia" w:ascii="宋体" w:hAnsi="宋体" w:cs="宋体"/>
                <w:b/>
                <w:bCs/>
                <w:color w:val="000000"/>
                <w:kern w:val="0"/>
                <w:sz w:val="24"/>
                <w:szCs w:val="24"/>
                <w:highlight w:val="none"/>
                <w:u w:val="single"/>
                <w:lang w:val="en-US" w:eastAsia="zh-CN" w:bidi="ar-SA"/>
              </w:rPr>
              <w:t>4</w:t>
            </w:r>
            <w:r>
              <w:rPr>
                <w:rFonts w:hint="eastAsia" w:ascii="宋体" w:hAnsi="宋体" w:eastAsia="宋体" w:cs="宋体"/>
                <w:b/>
                <w:bCs/>
                <w:color w:val="000000"/>
                <w:kern w:val="0"/>
                <w:sz w:val="24"/>
                <w:szCs w:val="24"/>
                <w:highlight w:val="none"/>
                <w:u w:val="single"/>
                <w:lang w:val="en-US" w:eastAsia="zh-CN" w:bidi="ar-SA"/>
              </w:rPr>
              <w:t>：00时</w:t>
            </w:r>
            <w:r>
              <w:rPr>
                <w:rFonts w:hint="eastAsia" w:ascii="宋体" w:hAnsi="宋体" w:eastAsia="宋体" w:cs="宋体"/>
                <w:sz w:val="24"/>
                <w:szCs w:val="24"/>
                <w:highlight w:val="none"/>
                <w:lang w:val="en-US" w:eastAsia="zh-CN"/>
              </w:rPr>
              <w:t>前（</w:t>
            </w: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\l "投标截止时间"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投标截止时间</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t>），将</w:t>
            </w:r>
            <w:r>
              <w:rPr>
                <w:rFonts w:hint="eastAsia" w:hAnsi="宋体" w:cs="宋体"/>
                <w:sz w:val="24"/>
                <w:szCs w:val="24"/>
                <w:highlight w:val="none"/>
                <w:lang w:val="en-US" w:eastAsia="zh-CN"/>
              </w:rPr>
              <w:t>纸质版</w:t>
            </w:r>
            <w:r>
              <w:rPr>
                <w:rFonts w:hint="eastAsia" w:ascii="宋体" w:hAnsi="宋体" w:eastAsia="宋体" w:cs="宋体"/>
                <w:sz w:val="24"/>
                <w:szCs w:val="24"/>
                <w:highlight w:val="none"/>
                <w:lang w:val="en-US" w:eastAsia="zh-CN"/>
              </w:rPr>
              <w:t>投标文件</w:t>
            </w:r>
            <w:r>
              <w:rPr>
                <w:rFonts w:hint="eastAsia" w:hAnsi="宋体" w:cs="宋体"/>
                <w:sz w:val="24"/>
                <w:szCs w:val="24"/>
                <w:highlight w:val="none"/>
                <w:lang w:val="en-US" w:eastAsia="zh-CN"/>
              </w:rPr>
              <w:t>密封后</w:t>
            </w:r>
            <w:r>
              <w:rPr>
                <w:rFonts w:hint="eastAsia" w:ascii="宋体" w:hAnsi="宋体" w:eastAsia="宋体" w:cs="宋体"/>
                <w:sz w:val="24"/>
                <w:szCs w:val="24"/>
                <w:highlight w:val="none"/>
                <w:lang w:val="en-US" w:eastAsia="zh-CN"/>
              </w:rPr>
              <w:t>送达重庆海联职业技术学院两江项目部。</w:t>
            </w:r>
          </w:p>
        </w:tc>
      </w:tr>
      <w:tr w14:paraId="584D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51" w:type="dxa"/>
            <w:tcBorders>
              <w:bottom w:val="single" w:color="auto" w:sz="4" w:space="0"/>
            </w:tcBorders>
            <w:vAlign w:val="center"/>
          </w:tcPr>
          <w:p w14:paraId="3C1AED7B">
            <w:pPr>
              <w:snapToGrid w:val="0"/>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1935" w:type="dxa"/>
            <w:tcBorders>
              <w:bottom w:val="single" w:color="auto" w:sz="4" w:space="0"/>
            </w:tcBorders>
            <w:vAlign w:val="center"/>
          </w:tcPr>
          <w:p w14:paraId="0440660A">
            <w:pPr>
              <w:snapToGrid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投标文件的组成及数量</w:t>
            </w:r>
          </w:p>
        </w:tc>
        <w:tc>
          <w:tcPr>
            <w:tcW w:w="6724" w:type="dxa"/>
            <w:tcBorders>
              <w:bottom w:val="single" w:color="auto" w:sz="4" w:space="0"/>
            </w:tcBorders>
            <w:vAlign w:val="center"/>
          </w:tcPr>
          <w:p w14:paraId="4F385AB1">
            <w:pPr>
              <w:snapToGrid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商务标贰份（一正一副）；</w:t>
            </w:r>
          </w:p>
          <w:p w14:paraId="104AA27D">
            <w:pPr>
              <w:pageBreakBefore w:val="0"/>
              <w:numPr>
                <w:ilvl w:val="0"/>
                <w:numId w:val="0"/>
              </w:numPr>
              <w:kinsoku/>
              <w:wordWrap/>
              <w:overflowPunct/>
              <w:topLinePunct w:val="0"/>
              <w:bidi w:val="0"/>
              <w:snapToGrid w:val="0"/>
              <w:spacing w:line="300" w:lineRule="auto"/>
              <w:ind w:leftChars="0"/>
              <w:jc w:val="both"/>
              <w:textAlignment w:val="auto"/>
              <w:rPr>
                <w:rFonts w:hint="default"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cs="宋体"/>
                <w:color w:val="000000" w:themeColor="text1"/>
                <w:sz w:val="24"/>
                <w:szCs w:val="24"/>
                <w:u w:val="none"/>
                <w:lang w:val="en-US" w:eastAsia="zh-CN"/>
                <w14:textFill>
                  <w14:solidFill>
                    <w14:schemeClr w14:val="tx1"/>
                  </w14:solidFill>
                </w14:textFill>
              </w:rPr>
              <w:t>商务标包括（但不限于）：投标函、工程量清单、法定代表人授权委托书、</w:t>
            </w:r>
            <w:r>
              <w:rPr>
                <w:rFonts w:hint="eastAsia" w:ascii="宋体" w:hAnsi="宋体" w:eastAsia="宋体" w:cs="宋体"/>
                <w:color w:val="000000" w:themeColor="text1"/>
                <w:sz w:val="24"/>
                <w:szCs w:val="24"/>
                <w:highlight w:val="none"/>
                <w14:textFill>
                  <w14:solidFill>
                    <w14:schemeClr w14:val="tx1"/>
                  </w14:solidFill>
                </w14:textFill>
              </w:rPr>
              <w:t>项目组织机构人员配置表</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拟投入项目管理班子主要成员履历表</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近三年来已完成或在建类似工程情况一览表</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监理大纲编写质量</w:t>
            </w:r>
            <w:r>
              <w:rPr>
                <w:rFonts w:hint="eastAsia" w:ascii="宋体" w:hAnsi="宋体" w:cs="宋体"/>
                <w:color w:val="000000" w:themeColor="text1"/>
                <w:sz w:val="24"/>
                <w:szCs w:val="24"/>
                <w:highlight w:val="none"/>
                <w:lang w:val="en-US" w:eastAsia="zh-CN"/>
                <w14:textFill>
                  <w14:solidFill>
                    <w14:schemeClr w14:val="tx1"/>
                  </w14:solidFill>
                </w14:textFill>
              </w:rPr>
              <w:t>等；</w:t>
            </w:r>
          </w:p>
          <w:p w14:paraId="1251419A">
            <w:pPr>
              <w:pageBreakBefore w:val="0"/>
              <w:numPr>
                <w:ilvl w:val="0"/>
                <w:numId w:val="0"/>
              </w:numPr>
              <w:kinsoku/>
              <w:wordWrap/>
              <w:overflowPunct/>
              <w:topLinePunct w:val="0"/>
              <w:bidi w:val="0"/>
              <w:snapToGrid w:val="0"/>
              <w:spacing w:line="300" w:lineRule="auto"/>
              <w:ind w:leftChars="0"/>
              <w:jc w:val="both"/>
              <w:textAlignment w:val="auto"/>
              <w:rPr>
                <w:rFonts w:hint="eastAsia"/>
              </w:rPr>
            </w:pPr>
            <w:bookmarkStart w:id="38" w:name="_Toc1746"/>
            <w:bookmarkStart w:id="39" w:name="_Toc28719"/>
            <w:r>
              <w:rPr>
                <w:rFonts w:hint="eastAsia" w:ascii="宋体" w:hAnsi="宋体" w:eastAsia="宋体" w:cs="宋体"/>
                <w:b w:val="0"/>
                <w:bCs w:val="0"/>
                <w:color w:val="auto"/>
                <w:sz w:val="24"/>
                <w:szCs w:val="24"/>
                <w:highlight w:val="none"/>
              </w:rPr>
              <w:t>上述所有投标文件的电子版本（可复制的U盘中）</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其工程量清单需提供excel版本</w:t>
            </w:r>
            <w:r>
              <w:rPr>
                <w:rFonts w:hint="eastAsia" w:ascii="宋体" w:hAnsi="宋体" w:eastAsia="宋体" w:cs="宋体"/>
                <w:b w:val="0"/>
                <w:bCs w:val="0"/>
                <w:color w:val="auto"/>
                <w:sz w:val="24"/>
                <w:szCs w:val="24"/>
                <w:highlight w:val="none"/>
              </w:rPr>
              <w:t>。</w:t>
            </w:r>
            <w:bookmarkEnd w:id="38"/>
            <w:bookmarkEnd w:id="39"/>
          </w:p>
        </w:tc>
      </w:tr>
      <w:tr w14:paraId="3B97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14E69D77">
            <w:pPr>
              <w:snapToGrid w:val="0"/>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p>
        </w:tc>
        <w:tc>
          <w:tcPr>
            <w:tcW w:w="1935" w:type="dxa"/>
            <w:vAlign w:val="center"/>
          </w:tcPr>
          <w:p w14:paraId="6538875A">
            <w:pPr>
              <w:snapToGri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计价形式</w:t>
            </w:r>
          </w:p>
        </w:tc>
        <w:tc>
          <w:tcPr>
            <w:tcW w:w="6724" w:type="dxa"/>
            <w:vAlign w:val="center"/>
          </w:tcPr>
          <w:p w14:paraId="1CE0FE11">
            <w:pPr>
              <w:snapToGrid w:val="0"/>
              <w:spacing w:line="360" w:lineRule="auto"/>
              <w:jc w:val="left"/>
              <w:rPr>
                <w:rFonts w:hint="eastAsia" w:asciiTheme="minorEastAsia" w:hAnsiTheme="minorEastAsia" w:eastAsiaTheme="minorEastAsia" w:cstheme="minorEastAsia"/>
                <w:b/>
                <w:sz w:val="24"/>
                <w:szCs w:val="24"/>
                <w:highlight w:val="none"/>
              </w:rPr>
            </w:pPr>
            <w:r>
              <w:rPr>
                <w:rFonts w:hint="eastAsia" w:ascii="宋体" w:hAnsi="宋体" w:eastAsia="宋体" w:cs="宋体"/>
                <w:b/>
                <w:color w:val="000000" w:themeColor="text1"/>
                <w:sz w:val="24"/>
                <w:szCs w:val="24"/>
                <w:highlight w:val="none"/>
                <w14:textFill>
                  <w14:solidFill>
                    <w14:schemeClr w14:val="tx1"/>
                  </w14:solidFill>
                </w14:textFill>
              </w:rPr>
              <w:t>综合单价包干，</w:t>
            </w:r>
            <w:r>
              <w:rPr>
                <w:rFonts w:hint="eastAsia" w:ascii="宋体" w:hAnsi="宋体" w:eastAsia="宋体" w:cs="宋体"/>
                <w:b/>
                <w:bCs w:val="0"/>
                <w:color w:val="000000" w:themeColor="text1"/>
                <w:sz w:val="24"/>
                <w:szCs w:val="24"/>
                <w:highlight w:val="none"/>
                <w14:textFill>
                  <w14:solidFill>
                    <w14:schemeClr w14:val="tx1"/>
                  </w14:solidFill>
                </w14:textFill>
              </w:rPr>
              <w:t>按建筑规划许可证面积结算</w:t>
            </w:r>
          </w:p>
        </w:tc>
      </w:tr>
      <w:tr w14:paraId="43D4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1B9E4333">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p>
        </w:tc>
        <w:tc>
          <w:tcPr>
            <w:tcW w:w="1935" w:type="dxa"/>
            <w:vAlign w:val="center"/>
          </w:tcPr>
          <w:p w14:paraId="4DD4A74A">
            <w:pPr>
              <w:snapToGri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投标有效期</w:t>
            </w:r>
          </w:p>
        </w:tc>
        <w:tc>
          <w:tcPr>
            <w:tcW w:w="6724" w:type="dxa"/>
            <w:vAlign w:val="center"/>
          </w:tcPr>
          <w:p w14:paraId="1C980C42">
            <w:pPr>
              <w:snapToGrid w:val="0"/>
              <w:spacing w:line="360" w:lineRule="auto"/>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为</w:t>
            </w:r>
            <w:r>
              <w:rPr>
                <w:rFonts w:hint="eastAsia" w:asciiTheme="minorEastAsia" w:hAnsiTheme="minorEastAsia" w:eastAsiaTheme="minorEastAsia" w:cstheme="minorEastAsia"/>
                <w:sz w:val="24"/>
                <w:szCs w:val="24"/>
                <w:highlight w:val="none"/>
                <w:u w:val="single"/>
              </w:rPr>
              <w:t>90</w:t>
            </w:r>
            <w:r>
              <w:rPr>
                <w:rFonts w:hint="eastAsia" w:asciiTheme="minorEastAsia" w:hAnsiTheme="minorEastAsia" w:eastAsiaTheme="minorEastAsia" w:cstheme="minorEastAsia"/>
                <w:sz w:val="24"/>
                <w:szCs w:val="24"/>
                <w:highlight w:val="none"/>
              </w:rPr>
              <w:t>日历天（从投标截止日起算）</w:t>
            </w:r>
          </w:p>
        </w:tc>
      </w:tr>
      <w:tr w14:paraId="03D8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2C2A1CD0">
            <w:pPr>
              <w:snapToGrid w:val="0"/>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c>
          <w:tcPr>
            <w:tcW w:w="1935" w:type="dxa"/>
            <w:vAlign w:val="center"/>
          </w:tcPr>
          <w:p w14:paraId="473EF557">
            <w:pPr>
              <w:snapToGrid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开标会</w:t>
            </w:r>
          </w:p>
        </w:tc>
        <w:tc>
          <w:tcPr>
            <w:tcW w:w="6724" w:type="dxa"/>
            <w:vAlign w:val="center"/>
          </w:tcPr>
          <w:p w14:paraId="23835E70">
            <w:pPr>
              <w:snapToGrid w:val="0"/>
              <w:spacing w:line="360" w:lineRule="auto"/>
              <w:rPr>
                <w:rFonts w:hint="eastAsia" w:asciiTheme="minorEastAsia" w:hAnsiTheme="minorEastAsia" w:eastAsiaTheme="minorEastAsia" w:cstheme="minorEastAsia"/>
                <w:sz w:val="24"/>
                <w:szCs w:val="24"/>
              </w:rPr>
            </w:pPr>
            <w:r>
              <w:rPr>
                <w:rFonts w:hint="eastAsia" w:ascii="宋体" w:hAnsi="宋体" w:eastAsia="宋体" w:cs="宋体"/>
                <w:color w:val="000000" w:themeColor="text1"/>
                <w:sz w:val="24"/>
                <w:szCs w:val="24"/>
                <w14:textFill>
                  <w14:solidFill>
                    <w14:schemeClr w14:val="tx1"/>
                  </w14:solidFill>
                </w14:textFill>
              </w:rPr>
              <w:t>由招标人</w:t>
            </w:r>
            <w:r>
              <w:rPr>
                <w:rFonts w:hint="eastAsia" w:ascii="宋体" w:hAnsi="宋体" w:eastAsia="宋体" w:cs="宋体"/>
                <w:color w:val="000000" w:themeColor="text1"/>
                <w:sz w:val="24"/>
                <w:szCs w:val="24"/>
                <w:lang w:val="en-US" w:eastAsia="zh-CN"/>
                <w14:textFill>
                  <w14:solidFill>
                    <w14:schemeClr w14:val="tx1"/>
                  </w14:solidFill>
                </w14:textFill>
              </w:rPr>
              <w:t>自行组织开标，投标人无需参加开标会议。</w:t>
            </w:r>
          </w:p>
        </w:tc>
      </w:tr>
      <w:tr w14:paraId="6A4B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3ABD33E1">
            <w:pPr>
              <w:snapToGrid w:val="0"/>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w:t>
            </w:r>
          </w:p>
        </w:tc>
        <w:tc>
          <w:tcPr>
            <w:tcW w:w="1935" w:type="dxa"/>
            <w:vAlign w:val="center"/>
          </w:tcPr>
          <w:p w14:paraId="3878AFEC">
            <w:pPr>
              <w:pageBreakBefore w:val="0"/>
              <w:kinsoku/>
              <w:wordWrap/>
              <w:overflowPunct/>
              <w:topLinePunct w:val="0"/>
              <w:bidi w:val="0"/>
              <w:snapToGrid w:val="0"/>
              <w:spacing w:line="300" w:lineRule="auto"/>
              <w:jc w:val="left"/>
              <w:textAlignment w:val="auto"/>
              <w:rPr>
                <w:rFonts w:hint="eastAsia" w:asciiTheme="minorEastAsia" w:hAnsiTheme="minorEastAsia" w:eastAsiaTheme="minorEastAsia" w:cstheme="minorEastAsia"/>
                <w:sz w:val="24"/>
                <w:szCs w:val="24"/>
              </w:rPr>
            </w:pPr>
            <w:r>
              <w:rPr>
                <w:rFonts w:hint="eastAsia" w:ascii="宋体" w:hAnsi="宋体" w:cs="宋体"/>
                <w:color w:val="000000" w:themeColor="text1"/>
                <w:sz w:val="24"/>
                <w:szCs w:val="24"/>
                <w:lang w:val="en-US" w:eastAsia="zh-CN"/>
                <w14:textFill>
                  <w14:solidFill>
                    <w14:schemeClr w14:val="tx1"/>
                  </w14:solidFill>
                </w14:textFill>
              </w:rPr>
              <w:t>评标办法</w:t>
            </w:r>
          </w:p>
        </w:tc>
        <w:tc>
          <w:tcPr>
            <w:tcW w:w="6724" w:type="dxa"/>
            <w:vAlign w:val="center"/>
          </w:tcPr>
          <w:p w14:paraId="64D296F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5"/>
              <w:jc w:val="left"/>
              <w:textAlignment w:val="auto"/>
              <w:rPr>
                <w:rFonts w:hint="default" w:ascii="宋体" w:hAnsi="宋体" w:eastAsia="宋体" w:cs="宋体"/>
                <w:color w:val="000000" w:themeColor="text1"/>
                <w:sz w:val="24"/>
                <w:szCs w:val="24"/>
                <w:lang w:val="en-US"/>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以各投标人的“</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商务标</w:t>
            </w:r>
            <w:r>
              <w:rPr>
                <w:rFonts w:hint="eastAsia" w:ascii="宋体" w:hAnsi="宋体" w:eastAsia="宋体" w:cs="宋体"/>
                <w:color w:val="000000" w:themeColor="text1"/>
                <w:kern w:val="2"/>
                <w:sz w:val="24"/>
                <w:szCs w:val="24"/>
                <w:lang w:val="en-US" w:eastAsia="zh-CN" w:bidi="ar-SA"/>
                <w14:textFill>
                  <w14:solidFill>
                    <w14:schemeClr w14:val="tx1"/>
                  </w14:solidFill>
                </w14:textFill>
              </w:rPr>
              <w:t>”进行综合评标，并以“</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综合得分较高</w:t>
            </w:r>
            <w:r>
              <w:rPr>
                <w:rFonts w:hint="eastAsia" w:ascii="宋体" w:hAnsi="宋体" w:eastAsia="宋体" w:cs="宋体"/>
                <w:color w:val="000000" w:themeColor="text1"/>
                <w:kern w:val="2"/>
                <w:sz w:val="24"/>
                <w:szCs w:val="24"/>
                <w:lang w:val="en-US" w:eastAsia="zh-CN" w:bidi="ar-SA"/>
                <w14:textFill>
                  <w14:solidFill>
                    <w14:schemeClr w14:val="tx1"/>
                  </w14:solidFill>
                </w14:textFill>
              </w:rPr>
              <w:t>”原则进行评标。</w:t>
            </w:r>
          </w:p>
        </w:tc>
      </w:tr>
      <w:tr w14:paraId="15AF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1DC1D20F">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5</w:t>
            </w:r>
          </w:p>
        </w:tc>
        <w:tc>
          <w:tcPr>
            <w:tcW w:w="1935" w:type="dxa"/>
            <w:vAlign w:val="center"/>
          </w:tcPr>
          <w:p w14:paraId="2DC79901">
            <w:pPr>
              <w:pageBreakBefore w:val="0"/>
              <w:kinsoku/>
              <w:wordWrap/>
              <w:overflowPunct/>
              <w:topLinePunct w:val="0"/>
              <w:bidi w:val="0"/>
              <w:snapToGrid w:val="0"/>
              <w:spacing w:line="300" w:lineRule="auto"/>
              <w:jc w:val="left"/>
              <w:textAlignment w:val="auto"/>
              <w:rPr>
                <w:rFonts w:hint="eastAsia" w:asciiTheme="minorEastAsia" w:hAnsiTheme="minorEastAsia" w:eastAsiaTheme="minorEastAsia" w:cstheme="minorEastAsia"/>
                <w:sz w:val="24"/>
                <w:szCs w:val="24"/>
              </w:rPr>
            </w:pPr>
            <w:r>
              <w:rPr>
                <w:rFonts w:hint="eastAsia" w:ascii="宋体" w:hAnsi="宋体" w:eastAsia="宋体" w:cs="宋体"/>
                <w:color w:val="000000" w:themeColor="text1"/>
                <w:sz w:val="24"/>
                <w:szCs w:val="24"/>
                <w14:textFill>
                  <w14:solidFill>
                    <w14:schemeClr w14:val="tx1"/>
                  </w14:solidFill>
                </w14:textFill>
              </w:rPr>
              <w:t>中标人的履约担保</w:t>
            </w:r>
          </w:p>
        </w:tc>
        <w:tc>
          <w:tcPr>
            <w:tcW w:w="6724" w:type="dxa"/>
            <w:vAlign w:val="center"/>
          </w:tcPr>
          <w:p w14:paraId="650CB088">
            <w:pPr>
              <w:pageBreakBefore w:val="0"/>
              <w:kinsoku/>
              <w:wordWrap/>
              <w:overflowPunct/>
              <w:topLinePunct w:val="0"/>
              <w:bidi w:val="0"/>
              <w:snapToGrid w:val="0"/>
              <w:spacing w:line="300" w:lineRule="auto"/>
              <w:textAlignment w:val="auto"/>
              <w:rPr>
                <w:rFonts w:hint="eastAsia" w:asciiTheme="minorEastAsia" w:hAnsiTheme="minorEastAsia" w:eastAsiaTheme="minorEastAsia" w:cstheme="minorEastAsia"/>
                <w:sz w:val="24"/>
                <w:szCs w:val="24"/>
              </w:rPr>
            </w:pPr>
            <w:r>
              <w:rPr>
                <w:rFonts w:hint="eastAsia" w:ascii="宋体" w:hAnsi="宋体" w:eastAsia="宋体" w:cs="宋体"/>
                <w:color w:val="000000" w:themeColor="text1"/>
                <w:sz w:val="24"/>
                <w:szCs w:val="24"/>
                <w:highlight w:val="none"/>
                <w14:textFill>
                  <w14:solidFill>
                    <w14:schemeClr w14:val="tx1"/>
                  </w14:solidFill>
                </w14:textFill>
              </w:rPr>
              <w:t>担保方式:</w:t>
            </w:r>
            <w:r>
              <w:rPr>
                <w:rFonts w:hint="eastAsia" w:ascii="宋体" w:hAnsi="宋体" w:cs="宋体"/>
                <w:color w:val="000000" w:themeColor="text1"/>
                <w:sz w:val="24"/>
                <w:szCs w:val="24"/>
                <w:highlight w:val="none"/>
                <w:u w:val="single"/>
                <w:lang w:val="en-US" w:eastAsia="zh-CN"/>
                <w14:textFill>
                  <w14:solidFill>
                    <w14:schemeClr w14:val="tx1"/>
                  </w14:solidFill>
                </w14:textFill>
              </w:rPr>
              <w:t>银行</w:t>
            </w:r>
            <w:r>
              <w:rPr>
                <w:rFonts w:hint="eastAsia" w:ascii="宋体" w:hAnsi="宋体" w:eastAsia="宋体" w:cs="宋体"/>
                <w:sz w:val="24"/>
                <w:szCs w:val="24"/>
                <w:highlight w:val="none"/>
                <w:u w:val="single"/>
              </w:rPr>
              <w:t>保函形式</w:t>
            </w:r>
            <w:r>
              <w:rPr>
                <w:rFonts w:hint="eastAsia" w:ascii="宋体" w:hAnsi="宋体" w:eastAsia="宋体" w:cs="宋体"/>
                <w:color w:val="000000" w:themeColor="text1"/>
                <w:sz w:val="24"/>
                <w:szCs w:val="24"/>
                <w:highlight w:val="none"/>
                <w14:textFill>
                  <w14:solidFill>
                    <w14:schemeClr w14:val="tx1"/>
                  </w14:solidFill>
                </w14:textFill>
              </w:rPr>
              <w:t>；担保金额:</w:t>
            </w:r>
            <w:r>
              <w:rPr>
                <w:rFonts w:hint="eastAsia" w:ascii="宋体" w:hAnsi="宋体" w:eastAsia="宋体" w:cs="宋体"/>
                <w:b/>
                <w:color w:val="000000" w:themeColor="text1"/>
                <w:sz w:val="24"/>
                <w:szCs w:val="24"/>
                <w:highlight w:val="none"/>
                <w:u w:val="single"/>
                <w14:textFill>
                  <w14:solidFill>
                    <w14:schemeClr w14:val="tx1"/>
                  </w14:solidFill>
                </w14:textFill>
              </w:rPr>
              <w:t>中标金额的</w:t>
            </w:r>
            <w:r>
              <w:rPr>
                <w:rFonts w:hint="eastAsia" w:ascii="宋体" w:hAnsi="宋体" w:eastAsia="宋体" w:cs="宋体"/>
                <w:b/>
                <w:color w:val="000000" w:themeColor="text1"/>
                <w:sz w:val="24"/>
                <w:szCs w:val="24"/>
                <w:highlight w:val="none"/>
                <w:u w:val="single"/>
                <w:lang w:val="en-US" w:eastAsia="zh-CN"/>
                <w14:textFill>
                  <w14:solidFill>
                    <w14:schemeClr w14:val="tx1"/>
                  </w14:solidFill>
                </w14:textFill>
              </w:rPr>
              <w:t>10</w:t>
            </w:r>
            <w:r>
              <w:rPr>
                <w:rFonts w:hint="eastAsia" w:ascii="宋体" w:hAnsi="宋体" w:eastAsia="宋体" w:cs="宋体"/>
                <w:b/>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w:t>
            </w:r>
          </w:p>
        </w:tc>
      </w:tr>
      <w:tr w14:paraId="1890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34A3B57C">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6</w:t>
            </w:r>
          </w:p>
        </w:tc>
        <w:tc>
          <w:tcPr>
            <w:tcW w:w="1935" w:type="dxa"/>
            <w:vAlign w:val="center"/>
          </w:tcPr>
          <w:p w14:paraId="2F1FAE60">
            <w:pPr>
              <w:pageBreakBefore w:val="0"/>
              <w:kinsoku/>
              <w:wordWrap/>
              <w:overflowPunct/>
              <w:topLinePunct w:val="0"/>
              <w:bidi w:val="0"/>
              <w:snapToGrid w:val="0"/>
              <w:spacing w:line="300" w:lineRule="auto"/>
              <w:jc w:val="left"/>
              <w:textAlignment w:val="auto"/>
              <w:rPr>
                <w:rFonts w:hint="eastAsia" w:ascii="宋体" w:hAnsi="宋体" w:eastAsia="宋体" w:cs="宋体"/>
                <w:sz w:val="24"/>
                <w:szCs w:val="24"/>
              </w:rPr>
            </w:pPr>
            <w:r>
              <w:rPr>
                <w:rFonts w:hint="eastAsia" w:ascii="宋体" w:hAnsi="宋体" w:eastAsia="宋体" w:cs="宋体"/>
                <w:color w:val="000000" w:themeColor="text1"/>
                <w:sz w:val="24"/>
                <w:szCs w:val="24"/>
                <w14:textFill>
                  <w14:solidFill>
                    <w14:schemeClr w14:val="tx1"/>
                  </w14:solidFill>
                </w14:textFill>
              </w:rPr>
              <w:t>工程进度款支付</w:t>
            </w:r>
          </w:p>
        </w:tc>
        <w:tc>
          <w:tcPr>
            <w:tcW w:w="6724" w:type="dxa"/>
            <w:vAlign w:val="center"/>
          </w:tcPr>
          <w:p w14:paraId="49797BFE">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预付款：</w:t>
            </w:r>
            <w:r>
              <w:rPr>
                <w:rFonts w:hint="eastAsia" w:ascii="宋体" w:hAnsi="宋体" w:eastAsia="宋体" w:cs="宋体"/>
                <w:b w:val="0"/>
                <w:bCs w:val="0"/>
                <w:color w:val="auto"/>
                <w:sz w:val="24"/>
                <w:szCs w:val="24"/>
                <w:highlight w:val="none"/>
                <w:lang w:val="en-US" w:eastAsia="zh-CN"/>
              </w:rPr>
              <w:t>委托人从项目开工、驻场人员完全到位后支付合同金额10%。</w:t>
            </w:r>
          </w:p>
          <w:p w14:paraId="18DD8D0A">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进度款：</w:t>
            </w:r>
            <w:r>
              <w:rPr>
                <w:rFonts w:hint="eastAsia" w:ascii="宋体" w:hAnsi="宋体" w:eastAsia="宋体" w:cs="宋体"/>
                <w:b w:val="0"/>
                <w:bCs w:val="0"/>
                <w:color w:val="auto"/>
                <w:sz w:val="24"/>
                <w:szCs w:val="24"/>
                <w:highlight w:val="none"/>
                <w:lang w:val="en-US" w:eastAsia="zh-CN"/>
              </w:rPr>
              <w:t>委托人在每季度末向监理人支付咨询费。监理人每季度最后一月25日前提出付款申请。施工期间，根据咨询服务的基本时间要求，每季度平均平摊支付(</w:t>
            </w:r>
            <w:r>
              <w:rPr>
                <w:rFonts w:hint="eastAsia" w:ascii="宋体" w:hAnsi="宋体" w:eastAsia="宋体" w:cs="宋体"/>
                <w:b/>
                <w:bCs/>
                <w:color w:val="auto"/>
                <w:sz w:val="24"/>
                <w:szCs w:val="24"/>
                <w:highlight w:val="none"/>
                <w:lang w:val="en-US" w:eastAsia="zh-CN"/>
              </w:rPr>
              <w:t>工期按6个季度平摊</w:t>
            </w:r>
            <w:r>
              <w:rPr>
                <w:rFonts w:hint="eastAsia" w:ascii="宋体" w:hAnsi="宋体" w:eastAsia="宋体" w:cs="宋体"/>
                <w:b w:val="0"/>
                <w:bCs w:val="0"/>
                <w:color w:val="auto"/>
                <w:sz w:val="24"/>
                <w:szCs w:val="24"/>
                <w:highlight w:val="none"/>
                <w:lang w:val="en-US" w:eastAsia="zh-CN"/>
              </w:rPr>
              <w:t>)，每季度支付合同价款的12.5%，项目完成前，此项累计支付75%。</w:t>
            </w:r>
          </w:p>
          <w:p w14:paraId="1D510FB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结算款：</w:t>
            </w:r>
            <w:r>
              <w:rPr>
                <w:rFonts w:hint="eastAsia" w:ascii="宋体" w:hAnsi="宋体" w:eastAsia="宋体" w:cs="宋体"/>
                <w:b w:val="0"/>
                <w:bCs w:val="0"/>
                <w:color w:val="auto"/>
                <w:sz w:val="24"/>
                <w:szCs w:val="24"/>
                <w:highlight w:val="none"/>
                <w:lang w:val="en-US" w:eastAsia="zh-CN"/>
              </w:rPr>
              <w:t>全部项目完成后取得验收报告，双方结算完成取得结算报告后，支付至合同结算金额的97%。</w:t>
            </w:r>
          </w:p>
          <w:p w14:paraId="498C0CF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rPr>
                <w:rFonts w:hint="eastAsia"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尾款：</w:t>
            </w:r>
            <w:r>
              <w:rPr>
                <w:rFonts w:hint="eastAsia" w:ascii="宋体" w:hAnsi="宋体" w:eastAsia="宋体" w:cs="宋体"/>
                <w:b w:val="0"/>
                <w:bCs w:val="0"/>
                <w:color w:val="auto"/>
                <w:sz w:val="24"/>
                <w:szCs w:val="24"/>
                <w:highlight w:val="none"/>
                <w:lang w:val="en-US" w:eastAsia="zh-CN"/>
              </w:rPr>
              <w:t>缺陷责任期满且无质量问题后，委托人向监理人支付扣除违约金或罚款后的全部剩余结算费用。</w:t>
            </w:r>
          </w:p>
        </w:tc>
      </w:tr>
      <w:tr w14:paraId="6B83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51" w:type="dxa"/>
            <w:vAlign w:val="center"/>
          </w:tcPr>
          <w:p w14:paraId="267E334D">
            <w:pPr>
              <w:snapToGrid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7</w:t>
            </w:r>
          </w:p>
        </w:tc>
        <w:tc>
          <w:tcPr>
            <w:tcW w:w="1935" w:type="dxa"/>
            <w:vAlign w:val="center"/>
          </w:tcPr>
          <w:p w14:paraId="7823AC3C">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其他</w:t>
            </w:r>
            <w:r>
              <w:rPr>
                <w:rFonts w:hint="eastAsia" w:asciiTheme="minorEastAsia" w:hAnsiTheme="minorEastAsia" w:eastAsiaTheme="minorEastAsia" w:cstheme="minorEastAsia"/>
                <w:sz w:val="24"/>
                <w:szCs w:val="24"/>
              </w:rPr>
              <w:t>说明</w:t>
            </w:r>
          </w:p>
        </w:tc>
        <w:tc>
          <w:tcPr>
            <w:tcW w:w="6724" w:type="dxa"/>
            <w:vAlign w:val="center"/>
          </w:tcPr>
          <w:p w14:paraId="488C700E">
            <w:pPr>
              <w:pStyle w:val="139"/>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right="0" w:rightChars="0" w:firstLine="0" w:firstLineChars="0"/>
              <w:textAlignment w:val="auto"/>
              <w:outlineLvl w:val="9"/>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本项目为两个施工许可证</w:t>
            </w:r>
          </w:p>
        </w:tc>
      </w:tr>
    </w:tbl>
    <w:p w14:paraId="5B1F8D91">
      <w:pPr>
        <w:pStyle w:val="3"/>
        <w:spacing w:before="0" w:after="0" w:line="360" w:lineRule="auto"/>
        <w:jc w:val="center"/>
        <w:rPr>
          <w:rFonts w:hint="eastAsia" w:ascii="宋体" w:hAnsi="宋体" w:eastAsia="宋体"/>
        </w:rPr>
        <w:sectPr>
          <w:headerReference r:id="rId7" w:type="default"/>
          <w:footerReference r:id="rId8" w:type="default"/>
          <w:footerReference r:id="rId9" w:type="even"/>
          <w:pgSz w:w="11906" w:h="16838"/>
          <w:pgMar w:top="1304" w:right="1304" w:bottom="1304" w:left="1304" w:header="680" w:footer="850" w:gutter="0"/>
          <w:pgNumType w:fmt="decimal"/>
          <w:cols w:space="0" w:num="1"/>
          <w:docGrid w:linePitch="0" w:charSpace="0"/>
        </w:sectPr>
      </w:pPr>
      <w:bookmarkStart w:id="40" w:name="_第一章_投标人须知"/>
      <w:bookmarkEnd w:id="40"/>
      <w:bookmarkStart w:id="41" w:name="_Toc83196642"/>
      <w:bookmarkStart w:id="42" w:name="_Toc385"/>
      <w:bookmarkStart w:id="43" w:name="_Toc22684"/>
      <w:bookmarkStart w:id="44" w:name="_Toc24636"/>
      <w:bookmarkStart w:id="45" w:name="_Toc421807496"/>
      <w:bookmarkStart w:id="46" w:name="_Toc25013"/>
      <w:bookmarkStart w:id="47" w:name="_Toc9102"/>
      <w:bookmarkStart w:id="48" w:name="_Toc106690284"/>
      <w:bookmarkStart w:id="49" w:name="_Toc18662"/>
      <w:bookmarkStart w:id="50" w:name="_Toc10335"/>
      <w:bookmarkStart w:id="51" w:name="_Toc1303"/>
    </w:p>
    <w:p w14:paraId="695EED59">
      <w:pPr>
        <w:pStyle w:val="3"/>
        <w:spacing w:before="0" w:after="0" w:line="360" w:lineRule="auto"/>
        <w:jc w:val="center"/>
        <w:rPr>
          <w:rFonts w:ascii="宋体" w:hAnsi="宋体" w:eastAsia="宋体"/>
        </w:rPr>
      </w:pPr>
      <w:bookmarkStart w:id="52" w:name="_Toc9529"/>
      <w:bookmarkStart w:id="53" w:name="_Toc22872"/>
      <w:bookmarkStart w:id="54" w:name="_Toc30486"/>
      <w:bookmarkStart w:id="55" w:name="_Toc18647"/>
      <w:bookmarkStart w:id="56" w:name="_Toc23630"/>
      <w:bookmarkStart w:id="57" w:name="_Toc1110"/>
      <w:bookmarkStart w:id="58" w:name="_Toc5321"/>
      <w:bookmarkStart w:id="59" w:name="_Toc30320"/>
      <w:r>
        <w:rPr>
          <w:rFonts w:hint="eastAsia" w:ascii="宋体" w:hAnsi="宋体" w:eastAsia="宋体"/>
        </w:rPr>
        <w:t>第一章 投标人须知</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56523DAD">
      <w:pPr>
        <w:pStyle w:val="3"/>
        <w:keepNext/>
        <w:keepLines/>
        <w:pageBreakBefore w:val="0"/>
        <w:widowControl w:val="0"/>
        <w:kinsoku/>
        <w:wordWrap/>
        <w:overflowPunct/>
        <w:topLinePunct w:val="0"/>
        <w:autoSpaceDE/>
        <w:autoSpaceDN/>
        <w:bidi w:val="0"/>
        <w:adjustRightInd/>
        <w:snapToGrid/>
        <w:spacing w:before="0" w:beforeLines="50" w:after="0" w:afterLines="50" w:line="360" w:lineRule="auto"/>
        <w:jc w:val="center"/>
        <w:textAlignment w:val="auto"/>
        <w:rPr>
          <w:rFonts w:asciiTheme="minorEastAsia" w:hAnsiTheme="minorEastAsia" w:eastAsiaTheme="minorEastAsia"/>
          <w:sz w:val="30"/>
          <w:szCs w:val="30"/>
        </w:rPr>
      </w:pPr>
      <w:bookmarkStart w:id="60" w:name="_Toc10599"/>
      <w:bookmarkStart w:id="61" w:name="_Toc106690285"/>
      <w:bookmarkStart w:id="62" w:name="_Toc841"/>
      <w:bookmarkStart w:id="63" w:name="_Toc29700"/>
      <w:bookmarkStart w:id="64" w:name="_Toc83196643"/>
      <w:bookmarkStart w:id="65" w:name="_Toc16512"/>
      <w:bookmarkStart w:id="66" w:name="_Toc1712"/>
      <w:bookmarkStart w:id="67" w:name="_Toc32155"/>
      <w:bookmarkStart w:id="68" w:name="_Toc20093"/>
      <w:bookmarkStart w:id="69" w:name="_Toc4705"/>
      <w:bookmarkStart w:id="70" w:name="_Toc8835"/>
      <w:bookmarkStart w:id="71" w:name="_Toc16014"/>
      <w:bookmarkStart w:id="72" w:name="_Toc12476"/>
      <w:bookmarkStart w:id="73" w:name="_Toc421807497"/>
      <w:bookmarkStart w:id="74" w:name="_Toc25497"/>
      <w:bookmarkStart w:id="75" w:name="_Toc12280"/>
      <w:bookmarkStart w:id="76" w:name="_Toc30933"/>
      <w:bookmarkStart w:id="77" w:name="_Toc17754"/>
      <w:bookmarkStart w:id="78" w:name="_Toc23640"/>
      <w:r>
        <w:rPr>
          <w:rFonts w:hint="eastAsia" w:asciiTheme="minorEastAsia" w:hAnsiTheme="minorEastAsia" w:eastAsiaTheme="minorEastAsia"/>
          <w:sz w:val="30"/>
          <w:szCs w:val="30"/>
        </w:rPr>
        <w:t>一、总  则</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37EF2929">
      <w:pPr>
        <w:pStyle w:val="139"/>
        <w:numPr>
          <w:ilvl w:val="0"/>
          <w:numId w:val="6"/>
        </w:numPr>
        <w:spacing w:line="360" w:lineRule="auto"/>
        <w:ind w:left="851" w:hanging="851"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rPr>
        <w:t>招标说明</w:t>
      </w:r>
    </w:p>
    <w:p w14:paraId="52D6C7D0">
      <w:pPr>
        <w:pStyle w:val="32"/>
        <w:keepNext w:val="0"/>
        <w:keepLines w:val="0"/>
        <w:pageBreakBefore w:val="0"/>
        <w:widowControl w:val="0"/>
        <w:numPr>
          <w:ilvl w:val="0"/>
          <w:numId w:val="7"/>
        </w:numPr>
        <w:kinsoku/>
        <w:wordWrap/>
        <w:overflowPunct/>
        <w:topLinePunct w:val="0"/>
        <w:autoSpaceDE/>
        <w:autoSpaceDN/>
        <w:bidi w:val="0"/>
        <w:adjustRightInd/>
        <w:snapToGrid/>
        <w:spacing w:line="360" w:lineRule="auto"/>
        <w:ind w:left="851" w:right="0" w:rightChars="0" w:hanging="851" w:firstLineChars="0"/>
        <w:jc w:val="both"/>
        <w:textAlignment w:val="auto"/>
        <w:outlineLvl w:val="9"/>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rPr>
        <w:t>本次招标为</w:t>
      </w:r>
      <w:r>
        <w:rPr>
          <w:rFonts w:hint="eastAsia" w:asciiTheme="minorEastAsia" w:hAnsiTheme="minorEastAsia" w:eastAsiaTheme="minorEastAsia" w:cstheme="minorEastAsia"/>
          <w:b w:val="0"/>
          <w:bCs w:val="0"/>
          <w:sz w:val="24"/>
          <w:szCs w:val="24"/>
          <w:u w:val="single"/>
          <w:lang w:eastAsia="zh-CN"/>
        </w:rPr>
        <w:t>重庆海联职业技术学院两江校区项目（二期）监理咨询服务</w:t>
      </w:r>
      <w:r>
        <w:rPr>
          <w:rFonts w:hint="eastAsia" w:asciiTheme="minorEastAsia" w:hAnsiTheme="minorEastAsia" w:eastAsiaTheme="minorEastAsia" w:cstheme="minorEastAsia"/>
          <w:b w:val="0"/>
          <w:bCs w:val="0"/>
          <w:sz w:val="24"/>
          <w:szCs w:val="24"/>
        </w:rPr>
        <w:t>的招标，其中标人为拟招标内容的</w:t>
      </w:r>
      <w:r>
        <w:rPr>
          <w:rFonts w:hint="eastAsia" w:asciiTheme="minorEastAsia" w:hAnsiTheme="minorEastAsia" w:eastAsiaTheme="minorEastAsia" w:cstheme="minorEastAsia"/>
          <w:b w:val="0"/>
          <w:bCs w:val="0"/>
          <w:sz w:val="24"/>
          <w:szCs w:val="24"/>
          <w:lang w:val="en-US" w:eastAsia="zh-CN"/>
        </w:rPr>
        <w:t>咨询服务</w:t>
      </w:r>
      <w:r>
        <w:rPr>
          <w:rFonts w:hint="eastAsia" w:asciiTheme="minorEastAsia" w:hAnsiTheme="minorEastAsia" w:eastAsiaTheme="minorEastAsia" w:cstheme="minorEastAsia"/>
          <w:b w:val="0"/>
          <w:bCs w:val="0"/>
          <w:sz w:val="24"/>
          <w:szCs w:val="24"/>
        </w:rPr>
        <w:t>单位，由</w:t>
      </w:r>
      <w:r>
        <w:rPr>
          <w:rFonts w:hint="eastAsia" w:asciiTheme="minorEastAsia" w:hAnsiTheme="minorEastAsia" w:eastAsiaTheme="minorEastAsia" w:cstheme="minorEastAsia"/>
          <w:bCs w:val="0"/>
          <w:sz w:val="24"/>
          <w:szCs w:val="24"/>
          <w:u w:val="single"/>
          <w:lang w:eastAsia="zh-CN"/>
        </w:rPr>
        <w:t>重庆海联职业技术学院</w:t>
      </w:r>
      <w:r>
        <w:rPr>
          <w:rFonts w:hint="eastAsia" w:asciiTheme="minorEastAsia" w:hAnsiTheme="minorEastAsia" w:eastAsiaTheme="minorEastAsia" w:cstheme="minorEastAsia"/>
          <w:b w:val="0"/>
          <w:bCs w:val="0"/>
          <w:sz w:val="24"/>
          <w:szCs w:val="24"/>
        </w:rPr>
        <w:t>作为招标人完成本项目的招标工作</w:t>
      </w:r>
      <w:r>
        <w:rPr>
          <w:rFonts w:hint="eastAsia" w:asciiTheme="minorEastAsia" w:hAnsiTheme="minorEastAsia" w:eastAsiaTheme="minorEastAsia" w:cstheme="minorEastAsia"/>
          <w:b w:val="0"/>
          <w:bCs w:val="0"/>
          <w:sz w:val="24"/>
          <w:szCs w:val="24"/>
          <w:lang w:val="en-US" w:eastAsia="zh-CN"/>
        </w:rPr>
        <w:t>及</w:t>
      </w:r>
      <w:r>
        <w:rPr>
          <w:rFonts w:hint="eastAsia" w:asciiTheme="minorEastAsia" w:hAnsiTheme="minorEastAsia" w:eastAsiaTheme="minorEastAsia" w:cstheme="minorEastAsia"/>
          <w:b w:val="0"/>
          <w:bCs w:val="0"/>
          <w:sz w:val="24"/>
          <w:szCs w:val="24"/>
          <w:highlight w:val="none"/>
          <w:lang w:eastAsia="zh-CN"/>
        </w:rPr>
        <w:t>后期签订合同事宜</w:t>
      </w:r>
      <w:r>
        <w:rPr>
          <w:rFonts w:hint="eastAsia" w:asciiTheme="minorEastAsia" w:hAnsiTheme="minorEastAsia" w:eastAsiaTheme="minorEastAsia" w:cstheme="minorEastAsia"/>
          <w:b w:val="0"/>
          <w:bCs w:val="0"/>
          <w:sz w:val="24"/>
          <w:szCs w:val="24"/>
          <w:highlight w:val="none"/>
        </w:rPr>
        <w:t>。</w:t>
      </w:r>
    </w:p>
    <w:p w14:paraId="3F0B3C07">
      <w:pPr>
        <w:pStyle w:val="32"/>
        <w:keepNext w:val="0"/>
        <w:keepLines w:val="0"/>
        <w:pageBreakBefore w:val="0"/>
        <w:widowControl w:val="0"/>
        <w:numPr>
          <w:ilvl w:val="0"/>
          <w:numId w:val="7"/>
        </w:numPr>
        <w:tabs>
          <w:tab w:val="left" w:pos="851"/>
        </w:tabs>
        <w:kinsoku/>
        <w:wordWrap/>
        <w:overflowPunct/>
        <w:topLinePunct w:val="0"/>
        <w:autoSpaceDE/>
        <w:autoSpaceDN/>
        <w:bidi w:val="0"/>
        <w:adjustRightInd/>
        <w:snapToGrid/>
        <w:spacing w:line="360" w:lineRule="auto"/>
        <w:ind w:right="0" w:rightChars="0" w:firstLineChars="0"/>
        <w:jc w:val="both"/>
        <w:textAlignment w:val="auto"/>
        <w:outlineLvl w:val="9"/>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一般规定</w:t>
      </w:r>
    </w:p>
    <w:p w14:paraId="58122C06">
      <w:pPr>
        <w:pStyle w:val="139"/>
        <w:keepNext w:val="0"/>
        <w:keepLines w:val="0"/>
        <w:pageBreakBefore w:val="0"/>
        <w:widowControl w:val="0"/>
        <w:numPr>
          <w:ilvl w:val="0"/>
          <w:numId w:val="8"/>
        </w:numPr>
        <w:tabs>
          <w:tab w:val="left" w:pos="851"/>
        </w:tabs>
        <w:kinsoku/>
        <w:wordWrap/>
        <w:overflowPunct/>
        <w:topLinePunct w:val="0"/>
        <w:autoSpaceDE/>
        <w:autoSpaceDN/>
        <w:bidi w:val="0"/>
        <w:adjustRightInd/>
        <w:snapToGrid/>
        <w:spacing w:line="360" w:lineRule="auto"/>
        <w:ind w:left="851" w:right="0" w:rightChars="0" w:hanging="851" w:firstLineChars="0"/>
        <w:jc w:val="both"/>
        <w:textAlignment w:val="auto"/>
        <w:outlineLvl w:val="9"/>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投标人必须认真阅读拟招标工程的招标文件及其附件，以及招标人在招标过程中所提供的各种资料。</w:t>
      </w:r>
    </w:p>
    <w:p w14:paraId="444E227F">
      <w:pPr>
        <w:pStyle w:val="139"/>
        <w:keepNext w:val="0"/>
        <w:keepLines w:val="0"/>
        <w:pageBreakBefore w:val="0"/>
        <w:widowControl w:val="0"/>
        <w:numPr>
          <w:ilvl w:val="0"/>
          <w:numId w:val="8"/>
        </w:numPr>
        <w:tabs>
          <w:tab w:val="left" w:pos="851"/>
        </w:tabs>
        <w:kinsoku/>
        <w:wordWrap/>
        <w:overflowPunct/>
        <w:topLinePunct w:val="0"/>
        <w:autoSpaceDE/>
        <w:autoSpaceDN/>
        <w:bidi w:val="0"/>
        <w:adjustRightInd/>
        <w:snapToGrid/>
        <w:spacing w:line="360" w:lineRule="auto"/>
        <w:ind w:left="851" w:right="0" w:rightChars="0" w:hanging="851" w:firstLineChars="0"/>
        <w:jc w:val="both"/>
        <w:textAlignment w:val="auto"/>
        <w:outlineLvl w:val="9"/>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投标人在整个投标过程中均不得有挂靠、卖标、买标、转包、围标等不良行为。</w:t>
      </w:r>
    </w:p>
    <w:p w14:paraId="01133A20">
      <w:pPr>
        <w:pStyle w:val="139"/>
        <w:keepNext w:val="0"/>
        <w:keepLines w:val="0"/>
        <w:pageBreakBefore w:val="0"/>
        <w:widowControl w:val="0"/>
        <w:numPr>
          <w:ilvl w:val="0"/>
          <w:numId w:val="7"/>
        </w:numPr>
        <w:tabs>
          <w:tab w:val="left" w:pos="851"/>
        </w:tabs>
        <w:kinsoku/>
        <w:wordWrap/>
        <w:overflowPunct/>
        <w:topLinePunct w:val="0"/>
        <w:autoSpaceDE/>
        <w:autoSpaceDN/>
        <w:bidi w:val="0"/>
        <w:adjustRightInd/>
        <w:snapToGrid/>
        <w:spacing w:line="360" w:lineRule="auto"/>
        <w:ind w:right="0" w:rightChars="0" w:firstLineChars="0"/>
        <w:jc w:val="both"/>
        <w:textAlignment w:val="auto"/>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特别强调：</w:t>
      </w:r>
    </w:p>
    <w:p w14:paraId="472D2787">
      <w:pPr>
        <w:pStyle w:val="139"/>
        <w:keepNext w:val="0"/>
        <w:keepLines w:val="0"/>
        <w:pageBreakBefore w:val="0"/>
        <w:widowControl w:val="0"/>
        <w:numPr>
          <w:ilvl w:val="0"/>
          <w:numId w:val="9"/>
        </w:numPr>
        <w:tabs>
          <w:tab w:val="left" w:pos="851"/>
        </w:tabs>
        <w:kinsoku/>
        <w:wordWrap/>
        <w:overflowPunct/>
        <w:topLinePunct w:val="0"/>
        <w:autoSpaceDE/>
        <w:autoSpaceDN/>
        <w:bidi w:val="0"/>
        <w:adjustRightInd/>
        <w:snapToGrid/>
        <w:spacing w:line="360" w:lineRule="auto"/>
        <w:ind w:left="851" w:right="0" w:rightChars="0" w:hanging="851" w:firstLineChars="0"/>
        <w:jc w:val="both"/>
        <w:textAlignment w:val="auto"/>
        <w:outlineLvl w:val="9"/>
        <w:rPr>
          <w:rFonts w:hint="eastAsia" w:asciiTheme="minorEastAsia" w:hAnsiTheme="minorEastAsia" w:eastAsiaTheme="minorEastAsia" w:cstheme="minorEastAsia"/>
          <w:b/>
          <w:snapToGrid w:val="0"/>
          <w:sz w:val="24"/>
          <w:szCs w:val="24"/>
        </w:rPr>
      </w:pPr>
      <w:r>
        <w:rPr>
          <w:rFonts w:hint="eastAsia" w:asciiTheme="minorEastAsia" w:hAnsiTheme="minorEastAsia" w:eastAsiaTheme="minorEastAsia" w:cstheme="minorEastAsia"/>
          <w:b/>
          <w:sz w:val="24"/>
          <w:szCs w:val="24"/>
        </w:rPr>
        <w:t>各投标单位的委托代理人应在投标截止时间前30分钟</w:t>
      </w:r>
      <w:r>
        <w:rPr>
          <w:rFonts w:hint="eastAsia" w:asciiTheme="minorEastAsia" w:hAnsiTheme="minorEastAsia" w:eastAsiaTheme="minorEastAsia" w:cstheme="minorEastAsia"/>
          <w:b/>
          <w:sz w:val="24"/>
          <w:szCs w:val="24"/>
          <w:lang w:val="en-US" w:eastAsia="zh-CN"/>
        </w:rPr>
        <w:t>将</w:t>
      </w:r>
      <w:r>
        <w:rPr>
          <w:rFonts w:hint="eastAsia" w:asciiTheme="minorEastAsia" w:hAnsiTheme="minorEastAsia" w:eastAsiaTheme="minorEastAsia" w:cstheme="minorEastAsia"/>
          <w:b/>
          <w:sz w:val="24"/>
          <w:szCs w:val="24"/>
        </w:rPr>
        <w:t>完整合格</w:t>
      </w:r>
      <w:r>
        <w:rPr>
          <w:rFonts w:hint="eastAsia" w:asciiTheme="minorEastAsia" w:hAnsiTheme="minorEastAsia" w:eastAsiaTheme="minorEastAsia" w:cstheme="minorEastAsia"/>
          <w:b/>
          <w:sz w:val="24"/>
          <w:szCs w:val="24"/>
          <w:lang w:val="en-US" w:eastAsia="zh-CN"/>
        </w:rPr>
        <w:t>的投标文件送到</w:t>
      </w:r>
      <w:r>
        <w:rPr>
          <w:rFonts w:hint="eastAsia" w:asciiTheme="minorEastAsia" w:hAnsiTheme="minorEastAsia" w:eastAsiaTheme="minorEastAsia" w:cstheme="minorEastAsia"/>
          <w:b/>
          <w:sz w:val="24"/>
          <w:szCs w:val="24"/>
        </w:rPr>
        <w:t>招标人指定的开标地点。</w:t>
      </w:r>
    </w:p>
    <w:p w14:paraId="22C54AF2">
      <w:pPr>
        <w:pStyle w:val="139"/>
        <w:keepNext w:val="0"/>
        <w:keepLines w:val="0"/>
        <w:pageBreakBefore w:val="0"/>
        <w:widowControl w:val="0"/>
        <w:numPr>
          <w:ilvl w:val="0"/>
          <w:numId w:val="7"/>
        </w:numPr>
        <w:kinsoku/>
        <w:wordWrap/>
        <w:overflowPunct/>
        <w:topLinePunct w:val="0"/>
        <w:autoSpaceDE/>
        <w:autoSpaceDN/>
        <w:bidi w:val="0"/>
        <w:adjustRightInd/>
        <w:snapToGrid/>
        <w:spacing w:line="360" w:lineRule="auto"/>
        <w:ind w:left="851" w:right="0" w:rightChars="0" w:hanging="851" w:firstLineChars="0"/>
        <w:jc w:val="both"/>
        <w:textAlignment w:val="auto"/>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工程概况</w:t>
      </w:r>
    </w:p>
    <w:p w14:paraId="503D3064">
      <w:pPr>
        <w:pStyle w:val="139"/>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工程名称：</w:t>
      </w:r>
      <w:r>
        <w:rPr>
          <w:rFonts w:hint="eastAsia" w:asciiTheme="minorEastAsia" w:hAnsiTheme="minorEastAsia" w:eastAsiaTheme="minorEastAsia" w:cstheme="minorEastAsia"/>
          <w:kern w:val="2"/>
          <w:sz w:val="24"/>
          <w:szCs w:val="24"/>
          <w:u w:val="single"/>
          <w:lang w:val="en-US" w:eastAsia="zh-CN" w:bidi="ar-SA"/>
        </w:rPr>
        <w:t>重庆海联职业技术学院两江校区项目（二期）监理咨询服务</w:t>
      </w:r>
      <w:r>
        <w:rPr>
          <w:rFonts w:hint="eastAsia" w:asciiTheme="minorEastAsia" w:hAnsiTheme="minorEastAsia" w:eastAsiaTheme="minorEastAsia" w:cstheme="minorEastAsia"/>
          <w:sz w:val="24"/>
          <w:szCs w:val="24"/>
        </w:rPr>
        <w:t>；</w:t>
      </w:r>
    </w:p>
    <w:p w14:paraId="3001A8E3">
      <w:pPr>
        <w:pStyle w:val="139"/>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工程地址：</w:t>
      </w:r>
      <w:r>
        <w:rPr>
          <w:rFonts w:hint="eastAsia" w:asciiTheme="minorEastAsia" w:hAnsiTheme="minorEastAsia" w:eastAsiaTheme="minorEastAsia" w:cstheme="minorEastAsia"/>
          <w:sz w:val="24"/>
          <w:szCs w:val="24"/>
          <w:highlight w:val="none"/>
          <w:u w:val="single"/>
          <w:lang w:val="en-US" w:eastAsia="zh-CN"/>
        </w:rPr>
        <w:t>重庆两江新区龙兴工业园两江大道北延段（龙兴V组团标准分区V10-1/01）</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 xml:space="preserve"> </w:t>
      </w:r>
    </w:p>
    <w:p w14:paraId="3F65997F">
      <w:pPr>
        <w:pStyle w:val="162"/>
        <w:pageBreakBefore w:val="0"/>
        <w:numPr>
          <w:ilvl w:val="0"/>
          <w:numId w:val="10"/>
        </w:numPr>
        <w:kinsoku/>
        <w:wordWrap/>
        <w:overflowPunct/>
        <w:topLinePunct w:val="0"/>
        <w:bidi w:val="0"/>
        <w:spacing w:line="360" w:lineRule="auto"/>
        <w:ind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工程规模：</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总建筑面积140000.00m²；</w:t>
      </w:r>
    </w:p>
    <w:p w14:paraId="4E67B127">
      <w:pPr>
        <w:pStyle w:val="162"/>
        <w:pageBreakBefore w:val="0"/>
        <w:numPr>
          <w:ilvl w:val="0"/>
          <w:numId w:val="10"/>
        </w:numPr>
        <w:kinsoku/>
        <w:wordWrap/>
        <w:overflowPunct/>
        <w:topLinePunct w:val="0"/>
        <w:bidi w:val="0"/>
        <w:spacing w:line="360" w:lineRule="auto"/>
        <w:ind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工程性质：</w:t>
      </w:r>
      <w:r>
        <w:rPr>
          <w:rFonts w:hint="eastAsia" w:ascii="宋体" w:hAnsi="宋体" w:eastAsia="宋体" w:cs="宋体"/>
          <w:color w:val="000000" w:themeColor="text1"/>
          <w:sz w:val="24"/>
          <w:szCs w:val="24"/>
          <w:u w:val="single"/>
          <w:lang w:val="en-US" w:eastAsia="zh-CN"/>
          <w14:textFill>
            <w14:solidFill>
              <w14:schemeClr w14:val="tx1"/>
            </w14:solidFill>
          </w14:textFill>
        </w:rPr>
        <w:t>学校</w:t>
      </w:r>
      <w:r>
        <w:rPr>
          <w:rFonts w:hint="eastAsia" w:ascii="宋体" w:hAnsi="宋体" w:eastAsia="宋体" w:cs="宋体"/>
          <w:color w:val="000000" w:themeColor="text1"/>
          <w:sz w:val="24"/>
          <w:szCs w:val="24"/>
          <w14:textFill>
            <w14:solidFill>
              <w14:schemeClr w14:val="tx1"/>
            </w14:solidFill>
          </w14:textFill>
        </w:rPr>
        <w:t>；</w:t>
      </w:r>
    </w:p>
    <w:p w14:paraId="3B2FDD1C">
      <w:pPr>
        <w:pStyle w:val="162"/>
        <w:keepNext w:val="0"/>
        <w:keepLines w:val="0"/>
        <w:pageBreakBefore w:val="0"/>
        <w:widowControl w:val="0"/>
        <w:numPr>
          <w:ilvl w:val="0"/>
          <w:numId w:val="10"/>
        </w:numPr>
        <w:kinsoku/>
        <w:wordWrap/>
        <w:overflowPunct/>
        <w:topLinePunct w:val="0"/>
        <w:autoSpaceDE/>
        <w:autoSpaceDN/>
        <w:bidi w:val="0"/>
        <w:adjustRightInd/>
        <w:snapToGrid/>
        <w:spacing w:line="360" w:lineRule="auto"/>
        <w:ind w:left="850" w:hanging="85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b/>
          <w:bCs w:val="0"/>
          <w:sz w:val="24"/>
          <w:szCs w:val="24"/>
          <w:highlight w:val="none"/>
          <w:lang w:val="en-US" w:eastAsia="zh-CN"/>
        </w:rPr>
        <w:t>服务期限</w:t>
      </w:r>
      <w:r>
        <w:rPr>
          <w:rFonts w:hint="eastAsia" w:ascii="宋体" w:hAnsi="宋体"/>
          <w:b w:val="0"/>
          <w:bCs/>
          <w:sz w:val="24"/>
          <w:szCs w:val="24"/>
          <w:highlight w:val="none"/>
          <w:lang w:val="en-US" w:eastAsia="zh-CN"/>
        </w:rPr>
        <w:t>：总服务期限</w:t>
      </w:r>
      <w:r>
        <w:rPr>
          <w:rFonts w:hint="eastAsia" w:ascii="宋体" w:hAnsi="宋体"/>
          <w:b w:val="0"/>
          <w:bCs/>
          <w:sz w:val="24"/>
          <w:szCs w:val="24"/>
          <w:highlight w:val="none"/>
          <w:u w:val="single"/>
          <w:lang w:val="en-US" w:eastAsia="zh-CN"/>
        </w:rPr>
        <w:t>18个月</w:t>
      </w:r>
      <w:r>
        <w:rPr>
          <w:rFonts w:hint="eastAsia" w:ascii="宋体" w:hAnsi="宋体"/>
          <w:b w:val="0"/>
          <w:bCs/>
          <w:sz w:val="24"/>
          <w:szCs w:val="24"/>
          <w:highlight w:val="none"/>
          <w:lang w:val="en-US" w:eastAsia="zh-CN"/>
        </w:rPr>
        <w:t>，</w:t>
      </w:r>
      <w:bookmarkStart w:id="79" w:name="_Toc17648"/>
      <w:r>
        <w:rPr>
          <w:rFonts w:hint="eastAsia" w:ascii="宋体" w:hAnsi="宋体"/>
          <w:b w:val="0"/>
          <w:bCs/>
          <w:sz w:val="24"/>
          <w:szCs w:val="24"/>
          <w:highlight w:val="none"/>
          <w:lang w:val="en-US" w:eastAsia="zh-CN"/>
        </w:rPr>
        <w:t>自</w:t>
      </w:r>
      <w:r>
        <w:rPr>
          <w:rFonts w:hint="eastAsia" w:ascii="宋体" w:hAnsi="宋体"/>
          <w:b w:val="0"/>
          <w:bCs/>
          <w:sz w:val="24"/>
          <w:szCs w:val="24"/>
          <w:highlight w:val="none"/>
          <w:u w:val="single"/>
          <w:lang w:val="en-US" w:eastAsia="zh-CN"/>
        </w:rPr>
        <w:t>2024年12月20日</w:t>
      </w:r>
      <w:bookmarkEnd w:id="79"/>
      <w:r>
        <w:rPr>
          <w:rFonts w:hint="eastAsia" w:ascii="宋体" w:hAnsi="宋体"/>
          <w:b w:val="0"/>
          <w:bCs/>
          <w:sz w:val="24"/>
          <w:szCs w:val="24"/>
          <w:highlight w:val="none"/>
          <w:u w:val="none"/>
          <w:lang w:val="en-US" w:eastAsia="zh-CN"/>
        </w:rPr>
        <w:t>开始</w:t>
      </w:r>
      <w:r>
        <w:rPr>
          <w:rFonts w:hint="eastAsia" w:ascii="宋体" w:hAnsi="宋体"/>
          <w:b w:val="0"/>
          <w:bCs/>
          <w:sz w:val="24"/>
          <w:szCs w:val="24"/>
          <w:highlight w:val="none"/>
          <w:lang w:val="en-US" w:eastAsia="zh-CN"/>
        </w:rPr>
        <w:t>至</w:t>
      </w:r>
      <w:r>
        <w:rPr>
          <w:rFonts w:hint="eastAsia" w:ascii="宋体" w:hAnsi="宋体"/>
          <w:b w:val="0"/>
          <w:bCs/>
          <w:sz w:val="24"/>
          <w:szCs w:val="24"/>
          <w:highlight w:val="none"/>
          <w:u w:val="single"/>
          <w:lang w:val="en-US" w:eastAsia="zh-CN"/>
        </w:rPr>
        <w:t>2026年6月20日</w:t>
      </w:r>
      <w:r>
        <w:rPr>
          <w:rFonts w:hint="eastAsia" w:ascii="宋体" w:hAnsi="宋体"/>
          <w:b w:val="0"/>
          <w:bCs/>
          <w:sz w:val="24"/>
          <w:szCs w:val="24"/>
          <w:highlight w:val="none"/>
          <w:lang w:val="en-US" w:eastAsia="zh-CN"/>
        </w:rPr>
        <w:t>结束，缺陷责任期2年。</w:t>
      </w:r>
    </w:p>
    <w:p w14:paraId="793C8874">
      <w:pPr>
        <w:pStyle w:val="139"/>
        <w:numPr>
          <w:ilvl w:val="0"/>
          <w:numId w:val="10"/>
        </w:numPr>
        <w:spacing w:line="360" w:lineRule="auto"/>
        <w:ind w:left="851" w:hanging="851"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工程质量：</w:t>
      </w:r>
    </w:p>
    <w:p w14:paraId="20E5CA40">
      <w:pPr>
        <w:pStyle w:val="139"/>
        <w:numPr>
          <w:ilvl w:val="0"/>
          <w:numId w:val="11"/>
        </w:numPr>
        <w:spacing w:line="360" w:lineRule="auto"/>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质量标准：</w:t>
      </w:r>
      <w:r>
        <w:rPr>
          <w:rFonts w:hint="eastAsia" w:asciiTheme="minorEastAsia" w:hAnsiTheme="minorEastAsia" w:eastAsiaTheme="minorEastAsia" w:cstheme="minorEastAsia"/>
          <w:sz w:val="24"/>
          <w:szCs w:val="24"/>
          <w:u w:val="single"/>
        </w:rPr>
        <w:t xml:space="preserve"> 合格 </w:t>
      </w:r>
      <w:r>
        <w:rPr>
          <w:rFonts w:hint="eastAsia" w:asciiTheme="minorEastAsia" w:hAnsiTheme="minorEastAsia" w:eastAsiaTheme="minorEastAsia" w:cstheme="minorEastAsia"/>
          <w:b/>
          <w:sz w:val="24"/>
          <w:szCs w:val="24"/>
        </w:rPr>
        <w:t>。</w:t>
      </w:r>
    </w:p>
    <w:p w14:paraId="01E0BF70">
      <w:pPr>
        <w:pStyle w:val="139"/>
        <w:keepNext w:val="0"/>
        <w:keepLines w:val="0"/>
        <w:pageBreakBefore w:val="0"/>
        <w:widowControl w:val="0"/>
        <w:numPr>
          <w:ilvl w:val="0"/>
          <w:numId w:val="11"/>
        </w:numPr>
        <w:kinsoku/>
        <w:wordWrap/>
        <w:overflowPunct/>
        <w:topLinePunct w:val="0"/>
        <w:autoSpaceDE/>
        <w:autoSpaceDN/>
        <w:bidi w:val="0"/>
        <w:adjustRightInd/>
        <w:snapToGrid/>
        <w:spacing w:line="360" w:lineRule="auto"/>
        <w:ind w:left="794" w:hanging="794"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坚决贯彻执行</w:t>
      </w:r>
      <w:r>
        <w:rPr>
          <w:rFonts w:hint="eastAsia" w:asciiTheme="minorEastAsia" w:hAnsiTheme="minorEastAsia" w:eastAsiaTheme="minorEastAsia" w:cstheme="minorEastAsia"/>
          <w:sz w:val="24"/>
          <w:szCs w:val="24"/>
          <w:lang w:val="en-GB"/>
        </w:rPr>
        <w:t>《建设工程监理规范》</w:t>
      </w:r>
      <w:r>
        <w:rPr>
          <w:rFonts w:hint="eastAsia" w:asciiTheme="minorEastAsia" w:hAnsiTheme="minorEastAsia" w:eastAsiaTheme="minorEastAsia" w:cstheme="minorEastAsia"/>
          <w:sz w:val="24"/>
          <w:szCs w:val="24"/>
        </w:rPr>
        <w:t>，严格履行质量责任和义务，严格执行</w:t>
      </w:r>
      <w:r>
        <w:rPr>
          <w:rFonts w:hint="eastAsia" w:asciiTheme="minorEastAsia" w:hAnsiTheme="minorEastAsia" w:eastAsiaTheme="minorEastAsia" w:cstheme="minorEastAsia"/>
          <w:sz w:val="24"/>
          <w:szCs w:val="24"/>
          <w:lang w:val="en-US" w:eastAsia="zh-CN"/>
        </w:rPr>
        <w:t>相</w:t>
      </w:r>
      <w:r>
        <w:rPr>
          <w:rFonts w:hint="eastAsia" w:asciiTheme="minorEastAsia" w:hAnsiTheme="minorEastAsia" w:eastAsiaTheme="minorEastAsia" w:cstheme="minorEastAsia"/>
          <w:sz w:val="24"/>
          <w:szCs w:val="24"/>
        </w:rPr>
        <w:t>关条款，确保建设工程施工质量。</w:t>
      </w:r>
    </w:p>
    <w:p w14:paraId="2FB52DB7">
      <w:pPr>
        <w:pStyle w:val="139"/>
        <w:numPr>
          <w:ilvl w:val="0"/>
          <w:numId w:val="6"/>
        </w:numPr>
        <w:spacing w:line="360" w:lineRule="auto"/>
        <w:ind w:left="851" w:hanging="851"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招标范围</w:t>
      </w:r>
      <w:r>
        <w:rPr>
          <w:rFonts w:hint="eastAsia" w:asciiTheme="minorEastAsia" w:hAnsiTheme="minorEastAsia" w:eastAsiaTheme="minorEastAsia" w:cstheme="minorEastAsia"/>
          <w:b/>
          <w:sz w:val="24"/>
          <w:szCs w:val="24"/>
          <w:lang w:val="en-US" w:eastAsia="zh-CN"/>
        </w:rPr>
        <w:t xml:space="preserve"> </w:t>
      </w:r>
    </w:p>
    <w:p w14:paraId="59EB68A0">
      <w:pPr>
        <w:pStyle w:val="139"/>
        <w:keepNext w:val="0"/>
        <w:keepLines w:val="0"/>
        <w:pageBreakBefore w:val="0"/>
        <w:widowControl w:val="0"/>
        <w:numPr>
          <w:ilvl w:val="0"/>
          <w:numId w:val="12"/>
        </w:numPr>
        <w:tabs>
          <w:tab w:val="left" w:pos="851"/>
        </w:tabs>
        <w:kinsoku/>
        <w:wordWrap/>
        <w:overflowPunct/>
        <w:topLinePunct w:val="0"/>
        <w:autoSpaceDE/>
        <w:autoSpaceDN/>
        <w:bidi w:val="0"/>
        <w:adjustRightInd/>
        <w:snapToGrid/>
        <w:spacing w:line="360" w:lineRule="auto"/>
        <w:ind w:left="420" w:leftChars="0" w:right="0" w:rightChars="0" w:hanging="420" w:firstLineChars="0"/>
        <w:jc w:val="both"/>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本次招标工程内容的标段划分：</w:t>
      </w:r>
      <w:r>
        <w:rPr>
          <w:rFonts w:hint="eastAsia" w:asciiTheme="minorEastAsia" w:hAnsiTheme="minorEastAsia" w:eastAsiaTheme="minorEastAsia" w:cstheme="minorEastAsia"/>
          <w:sz w:val="24"/>
          <w:szCs w:val="24"/>
          <w:highlight w:val="none"/>
          <w:u w:val="single"/>
        </w:rPr>
        <w:t>按壹个标段进行招标</w:t>
      </w:r>
      <w:r>
        <w:rPr>
          <w:rFonts w:hint="eastAsia" w:asciiTheme="minorEastAsia" w:hAnsiTheme="minorEastAsia" w:eastAsiaTheme="minorEastAsia" w:cstheme="minorEastAsia"/>
          <w:sz w:val="24"/>
          <w:szCs w:val="24"/>
          <w:highlight w:val="none"/>
        </w:rPr>
        <w:t xml:space="preserve">。 </w:t>
      </w:r>
    </w:p>
    <w:p w14:paraId="5406DE04">
      <w:pPr>
        <w:pStyle w:val="139"/>
        <w:keepNext w:val="0"/>
        <w:keepLines w:val="0"/>
        <w:pageBreakBefore w:val="0"/>
        <w:widowControl w:val="0"/>
        <w:numPr>
          <w:ilvl w:val="0"/>
          <w:numId w:val="12"/>
        </w:numPr>
        <w:tabs>
          <w:tab w:val="left" w:pos="851"/>
        </w:tabs>
        <w:kinsoku/>
        <w:wordWrap/>
        <w:overflowPunct/>
        <w:topLinePunct w:val="0"/>
        <w:autoSpaceDE/>
        <w:autoSpaceDN/>
        <w:bidi w:val="0"/>
        <w:adjustRightInd/>
        <w:snapToGrid/>
        <w:spacing w:line="360" w:lineRule="auto"/>
        <w:ind w:left="850" w:leftChars="0" w:right="0" w:rightChars="0" w:hanging="850" w:firstLineChars="0"/>
        <w:jc w:val="both"/>
        <w:textAlignment w:val="auto"/>
        <w:outlineLvl w:val="9"/>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本次招标的工程范围为</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u w:val="single"/>
          <w:lang w:val="en-US" w:eastAsia="zh-CN"/>
        </w:rPr>
        <w:t>全过程监理咨询服务，包括但不限于建筑工程、市政工程、安装工程、装饰装修工程、园林工程及景观劳务分包等全部内容的</w:t>
      </w:r>
      <w:r>
        <w:rPr>
          <w:rFonts w:hint="default" w:asciiTheme="minorEastAsia" w:hAnsiTheme="minorEastAsia" w:eastAsiaTheme="minorEastAsia" w:cstheme="minorEastAsia"/>
          <w:sz w:val="24"/>
          <w:szCs w:val="24"/>
          <w:highlight w:val="none"/>
          <w:u w:val="single"/>
          <w:lang w:val="en-US" w:eastAsia="zh-CN"/>
        </w:rPr>
        <w:t>工程全过程</w:t>
      </w:r>
      <w:r>
        <w:rPr>
          <w:rFonts w:hint="eastAsia" w:asciiTheme="minorEastAsia" w:hAnsiTheme="minorEastAsia" w:eastAsiaTheme="minorEastAsia" w:cstheme="minorEastAsia"/>
          <w:sz w:val="24"/>
          <w:szCs w:val="24"/>
          <w:highlight w:val="none"/>
          <w:u w:val="single"/>
          <w:lang w:val="en-US" w:eastAsia="zh-CN"/>
        </w:rPr>
        <w:t>监理咨询服务</w:t>
      </w:r>
      <w:r>
        <w:rPr>
          <w:rFonts w:hint="eastAsia" w:asciiTheme="minorEastAsia" w:hAnsiTheme="minorEastAsia" w:eastAsiaTheme="minorEastAsia" w:cstheme="minorEastAsia"/>
          <w:sz w:val="24"/>
          <w:szCs w:val="24"/>
          <w:highlight w:val="none"/>
          <w:lang w:val="en-US" w:eastAsia="zh-CN"/>
        </w:rPr>
        <w:t>；</w:t>
      </w:r>
    </w:p>
    <w:p w14:paraId="104ACA19">
      <w:pPr>
        <w:pStyle w:val="139"/>
        <w:numPr>
          <w:ilvl w:val="0"/>
          <w:numId w:val="6"/>
        </w:numPr>
        <w:spacing w:line="360" w:lineRule="auto"/>
        <w:ind w:left="851" w:hanging="851"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合格投标人</w:t>
      </w:r>
    </w:p>
    <w:p w14:paraId="5FFCFEC7">
      <w:pPr>
        <w:pStyle w:val="139"/>
        <w:keepNext w:val="0"/>
        <w:keepLines w:val="0"/>
        <w:pageBreakBefore w:val="0"/>
        <w:widowControl w:val="0"/>
        <w:numPr>
          <w:ilvl w:val="0"/>
          <w:numId w:val="13"/>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投标人必须具备资质为：</w:t>
      </w:r>
      <w:r>
        <w:rPr>
          <w:rFonts w:hint="eastAsia" w:asciiTheme="minorEastAsia" w:hAnsiTheme="minorEastAsia" w:eastAsiaTheme="minorEastAsia" w:cstheme="minorEastAsia"/>
          <w:b w:val="0"/>
          <w:bCs w:val="0"/>
          <w:sz w:val="24"/>
          <w:szCs w:val="24"/>
          <w:highlight w:val="none"/>
          <w:u w:val="none"/>
        </w:rPr>
        <w:t>具备</w:t>
      </w:r>
      <w:r>
        <w:rPr>
          <w:rFonts w:hint="eastAsia" w:ascii="宋体" w:hAnsi="宋体" w:eastAsia="宋体" w:cs="宋体"/>
          <w:b/>
          <w:bCs/>
          <w:kern w:val="2"/>
          <w:sz w:val="24"/>
          <w:szCs w:val="24"/>
          <w:u w:val="single"/>
          <w:lang w:val="en-US" w:eastAsia="zh-CN"/>
        </w:rPr>
        <w:t>房屋建筑工程监理甲级</w:t>
      </w:r>
      <w:r>
        <w:rPr>
          <w:rFonts w:hint="eastAsia" w:ascii="宋体" w:hAnsi="宋体" w:eastAsia="宋体" w:cs="宋体"/>
          <w:b w:val="0"/>
          <w:bCs w:val="0"/>
          <w:kern w:val="2"/>
          <w:sz w:val="24"/>
          <w:szCs w:val="24"/>
          <w:lang w:val="en-US" w:eastAsia="zh-CN"/>
        </w:rPr>
        <w:t>（需按要求提供项目负责人及相关管理人员近3年业绩证明及公司参保证明）</w:t>
      </w:r>
      <w:r>
        <w:rPr>
          <w:rFonts w:hint="eastAsia" w:asciiTheme="minorEastAsia" w:hAnsiTheme="minorEastAsia" w:eastAsiaTheme="minorEastAsia" w:cstheme="minorEastAsia"/>
          <w:sz w:val="24"/>
          <w:szCs w:val="24"/>
          <w:highlight w:val="none"/>
        </w:rPr>
        <w:t>，并通过招标人的投标资格审查（包括资格预审</w:t>
      </w:r>
      <w:r>
        <w:rPr>
          <w:rFonts w:hint="eastAsia" w:asciiTheme="minorEastAsia" w:hAnsiTheme="minorEastAsia" w:eastAsiaTheme="minorEastAsia" w:cstheme="minorEastAsia"/>
          <w:sz w:val="24"/>
          <w:szCs w:val="24"/>
          <w:highlight w:val="none"/>
          <w:lang w:val="en-US" w:eastAsia="zh-CN"/>
        </w:rPr>
        <w:t>等</w:t>
      </w:r>
      <w:r>
        <w:rPr>
          <w:rFonts w:hint="eastAsia" w:asciiTheme="minorEastAsia" w:hAnsiTheme="minorEastAsia" w:eastAsiaTheme="minorEastAsia" w:cstheme="minorEastAsia"/>
          <w:sz w:val="24"/>
          <w:szCs w:val="24"/>
          <w:highlight w:val="none"/>
        </w:rPr>
        <w:t>）。</w:t>
      </w:r>
    </w:p>
    <w:p w14:paraId="090D598A">
      <w:pPr>
        <w:pStyle w:val="139"/>
        <w:keepNext w:val="0"/>
        <w:keepLines w:val="0"/>
        <w:pageBreakBefore w:val="0"/>
        <w:widowControl w:val="0"/>
        <w:numPr>
          <w:ilvl w:val="0"/>
          <w:numId w:val="13"/>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按招标文件的要求向招标人作出实质性响应的投标人。</w:t>
      </w:r>
    </w:p>
    <w:p w14:paraId="00310A06">
      <w:pPr>
        <w:pStyle w:val="139"/>
        <w:keepNext w:val="0"/>
        <w:keepLines w:val="0"/>
        <w:pageBreakBefore w:val="0"/>
        <w:widowControl w:val="0"/>
        <w:numPr>
          <w:ilvl w:val="0"/>
          <w:numId w:val="13"/>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本招标项目不接受联合体投标。</w:t>
      </w:r>
    </w:p>
    <w:p w14:paraId="0D87BE72">
      <w:pPr>
        <w:pStyle w:val="17"/>
        <w:numPr>
          <w:ilvl w:val="0"/>
          <w:numId w:val="6"/>
        </w:numPr>
        <w:spacing w:line="360" w:lineRule="auto"/>
        <w:ind w:left="851" w:hanging="851"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招标日程安排</w:t>
      </w:r>
    </w:p>
    <w:p w14:paraId="5C0A43DE">
      <w:pPr>
        <w:pStyle w:val="139"/>
        <w:numPr>
          <w:ilvl w:val="0"/>
          <w:numId w:val="14"/>
        </w:numPr>
        <w:tabs>
          <w:tab w:val="left" w:pos="851"/>
        </w:tabs>
        <w:spacing w:line="360" w:lineRule="auto"/>
        <w:ind w:left="851" w:hanging="851"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投标人于</w:t>
      </w:r>
      <w:r>
        <w:rPr>
          <w:rFonts w:hint="eastAsia" w:asciiTheme="minorEastAsia" w:hAnsiTheme="minorEastAsia" w:eastAsiaTheme="minorEastAsia" w:cstheme="minorEastAsia"/>
          <w:b/>
          <w:bCs/>
          <w:sz w:val="24"/>
          <w:szCs w:val="24"/>
          <w:highlight w:val="none"/>
          <w:u w:val="single"/>
        </w:rPr>
        <w:t>20</w:t>
      </w:r>
      <w:r>
        <w:rPr>
          <w:rFonts w:hint="default" w:asciiTheme="minorEastAsia" w:hAnsiTheme="minorEastAsia" w:eastAsiaTheme="minorEastAsia" w:cstheme="minorEastAsia"/>
          <w:b/>
          <w:bCs/>
          <w:sz w:val="24"/>
          <w:szCs w:val="24"/>
          <w:highlight w:val="none"/>
          <w:u w:val="single"/>
        </w:rPr>
        <w:t>24</w:t>
      </w:r>
      <w:r>
        <w:rPr>
          <w:rFonts w:hint="eastAsia" w:asciiTheme="minorEastAsia" w:hAnsiTheme="minorEastAsia" w:eastAsiaTheme="minorEastAsia" w:cstheme="minorEastAsia"/>
          <w:b/>
          <w:bCs/>
          <w:sz w:val="24"/>
          <w:szCs w:val="24"/>
          <w:highlight w:val="none"/>
          <w:u w:val="single"/>
        </w:rPr>
        <w:t>年</w:t>
      </w:r>
      <w:r>
        <w:rPr>
          <w:rFonts w:hint="default" w:asciiTheme="minorEastAsia" w:hAnsiTheme="minorEastAsia" w:eastAsiaTheme="minorEastAsia" w:cstheme="minorEastAsia"/>
          <w:b/>
          <w:bCs/>
          <w:sz w:val="24"/>
          <w:szCs w:val="24"/>
          <w:highlight w:val="none"/>
          <w:u w:val="single"/>
          <w:lang w:eastAsia="zh-CN"/>
        </w:rPr>
        <w:t>1</w:t>
      </w:r>
      <w:r>
        <w:rPr>
          <w:rFonts w:hint="eastAsia" w:asciiTheme="minorEastAsia" w:hAnsiTheme="minorEastAsia" w:eastAsiaTheme="minorEastAsia" w:cstheme="minorEastAsia"/>
          <w:b/>
          <w:bCs/>
          <w:sz w:val="24"/>
          <w:szCs w:val="24"/>
          <w:highlight w:val="none"/>
          <w:u w:val="single"/>
          <w:lang w:val="en-US" w:eastAsia="zh-CN"/>
        </w:rPr>
        <w:t>2</w:t>
      </w:r>
      <w:r>
        <w:rPr>
          <w:rFonts w:hint="eastAsia" w:asciiTheme="minorEastAsia" w:hAnsiTheme="minorEastAsia" w:eastAsiaTheme="minorEastAsia" w:cstheme="minorEastAsia"/>
          <w:b/>
          <w:bCs/>
          <w:sz w:val="24"/>
          <w:szCs w:val="24"/>
          <w:highlight w:val="none"/>
          <w:u w:val="single"/>
        </w:rPr>
        <w:t>月</w:t>
      </w:r>
      <w:r>
        <w:rPr>
          <w:rFonts w:hint="eastAsia" w:asciiTheme="minorEastAsia" w:hAnsiTheme="minorEastAsia" w:eastAsiaTheme="minorEastAsia" w:cstheme="minorEastAsia"/>
          <w:b/>
          <w:bCs/>
          <w:sz w:val="24"/>
          <w:szCs w:val="24"/>
          <w:highlight w:val="none"/>
          <w:u w:val="single"/>
          <w:lang w:val="en-US" w:eastAsia="zh-CN"/>
        </w:rPr>
        <w:t>6</w:t>
      </w:r>
      <w:r>
        <w:rPr>
          <w:rFonts w:hint="eastAsia" w:asciiTheme="minorEastAsia" w:hAnsiTheme="minorEastAsia" w:eastAsiaTheme="minorEastAsia" w:cstheme="minorEastAsia"/>
          <w:b/>
          <w:bCs/>
          <w:sz w:val="24"/>
          <w:szCs w:val="24"/>
          <w:highlight w:val="none"/>
          <w:u w:val="single"/>
        </w:rPr>
        <w:t>日</w:t>
      </w:r>
      <w:r>
        <w:rPr>
          <w:rFonts w:hint="eastAsia" w:asciiTheme="minorEastAsia" w:hAnsiTheme="minorEastAsia" w:eastAsiaTheme="minorEastAsia" w:cstheme="minorEastAsia"/>
          <w:b/>
          <w:bCs/>
          <w:sz w:val="24"/>
          <w:szCs w:val="24"/>
          <w:highlight w:val="none"/>
          <w:u w:val="single"/>
          <w:lang w:val="en-US" w:eastAsia="zh-CN"/>
        </w:rPr>
        <w:t>14:00</w:t>
      </w:r>
      <w:r>
        <w:rPr>
          <w:rFonts w:hint="eastAsia" w:asciiTheme="minorEastAsia" w:hAnsiTheme="minorEastAsia" w:eastAsiaTheme="minorEastAsia" w:cstheme="minorEastAsia"/>
          <w:b/>
          <w:bCs/>
          <w:sz w:val="24"/>
          <w:szCs w:val="24"/>
          <w:highlight w:val="none"/>
          <w:u w:val="single"/>
        </w:rPr>
        <w:t>时前</w:t>
      </w:r>
      <w:r>
        <w:rPr>
          <w:rFonts w:hint="eastAsia" w:asciiTheme="minorEastAsia" w:hAnsiTheme="minorEastAsia" w:eastAsiaTheme="minorEastAsia" w:cstheme="minorEastAsia"/>
          <w:sz w:val="24"/>
          <w:szCs w:val="24"/>
          <w:highlight w:val="none"/>
          <w:u w:val="single"/>
        </w:rPr>
        <w:t>，到</w:t>
      </w:r>
      <w:r>
        <w:rPr>
          <w:rFonts w:hint="eastAsia" w:asciiTheme="minorEastAsia" w:hAnsiTheme="minorEastAsia" w:eastAsiaTheme="minorEastAsia" w:cstheme="minorEastAsia"/>
          <w:b/>
          <w:sz w:val="24"/>
          <w:szCs w:val="24"/>
          <w:highlight w:val="none"/>
          <w:u w:val="single"/>
          <w:lang w:eastAsia="zh-CN"/>
        </w:rPr>
        <w:t>重庆海联职业技术学院</w:t>
      </w:r>
      <w:r>
        <w:rPr>
          <w:rFonts w:hint="eastAsia" w:asciiTheme="minorEastAsia" w:hAnsiTheme="minorEastAsia" w:eastAsiaTheme="minorEastAsia" w:cstheme="minorEastAsia"/>
          <w:sz w:val="24"/>
          <w:szCs w:val="24"/>
          <w:highlight w:val="none"/>
        </w:rPr>
        <w:t>领取招标文件；</w:t>
      </w:r>
    </w:p>
    <w:p w14:paraId="0654B849">
      <w:pPr>
        <w:pStyle w:val="139"/>
        <w:tabs>
          <w:tab w:val="left" w:pos="851"/>
        </w:tabs>
        <w:spacing w:line="360" w:lineRule="auto"/>
        <w:ind w:left="851"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sz w:val="24"/>
          <w:szCs w:val="24"/>
          <w:highlight w:val="none"/>
          <w:u w:val="single"/>
        </w:rPr>
        <w:t xml:space="preserve"> 葛希凤 </w:t>
      </w:r>
      <w:r>
        <w:rPr>
          <w:rFonts w:hint="eastAsia" w:asciiTheme="minorEastAsia" w:hAnsiTheme="minorEastAsia" w:eastAsiaTheme="minorEastAsia" w:cstheme="minorEastAsia"/>
          <w:sz w:val="24"/>
          <w:szCs w:val="24"/>
          <w:highlight w:val="none"/>
        </w:rPr>
        <w:t>，联系电话：</w:t>
      </w:r>
      <w:r>
        <w:rPr>
          <w:rFonts w:hint="eastAsia" w:asciiTheme="minorEastAsia" w:hAnsiTheme="minorEastAsia" w:eastAsiaTheme="minorEastAsia" w:cstheme="minorEastAsia"/>
          <w:sz w:val="24"/>
          <w:szCs w:val="24"/>
          <w:highlight w:val="none"/>
          <w:u w:val="single"/>
          <w:lang w:val="en-US" w:eastAsia="zh-CN"/>
        </w:rPr>
        <w:t>15923355274</w:t>
      </w:r>
      <w:r>
        <w:rPr>
          <w:rFonts w:hint="eastAsia" w:asciiTheme="minorEastAsia" w:hAnsiTheme="minorEastAsia" w:eastAsiaTheme="minorEastAsia" w:cstheme="minorEastAsia"/>
          <w:sz w:val="24"/>
          <w:szCs w:val="24"/>
          <w:highlight w:val="none"/>
        </w:rPr>
        <w:t>。</w:t>
      </w:r>
    </w:p>
    <w:p w14:paraId="2E84A06A">
      <w:pPr>
        <w:pStyle w:val="139"/>
        <w:numPr>
          <w:ilvl w:val="0"/>
          <w:numId w:val="14"/>
        </w:numPr>
        <w:tabs>
          <w:tab w:val="left" w:pos="851"/>
        </w:tabs>
        <w:spacing w:line="360" w:lineRule="auto"/>
        <w:ind w:left="851" w:hanging="851"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投标人自行完成现场踏勘；</w:t>
      </w:r>
    </w:p>
    <w:p w14:paraId="195DB526">
      <w:pPr>
        <w:tabs>
          <w:tab w:val="left" w:pos="420"/>
        </w:tabs>
        <w:snapToGrid w:val="0"/>
        <w:spacing w:line="360" w:lineRule="auto"/>
        <w:ind w:left="836" w:leftChars="398" w:firstLine="16" w:firstLineChars="7"/>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踏勘地址：</w:t>
      </w:r>
      <w:r>
        <w:rPr>
          <w:rFonts w:hint="default" w:asciiTheme="minorEastAsia" w:hAnsiTheme="minorEastAsia" w:eastAsiaTheme="minorEastAsia" w:cstheme="minorEastAsia"/>
          <w:sz w:val="24"/>
          <w:szCs w:val="24"/>
          <w:highlight w:val="none"/>
          <w:u w:val="single"/>
          <w:lang w:eastAsia="zh-CN"/>
        </w:rPr>
        <w:t>重庆市龙兴镇双口路</w:t>
      </w:r>
      <w:r>
        <w:rPr>
          <w:rFonts w:hint="eastAsia" w:asciiTheme="minorEastAsia" w:hAnsiTheme="minorEastAsia" w:eastAsiaTheme="minorEastAsia" w:cstheme="minorEastAsia"/>
          <w:sz w:val="24"/>
          <w:szCs w:val="24"/>
          <w:highlight w:val="none"/>
        </w:rPr>
        <w:t>。</w:t>
      </w:r>
    </w:p>
    <w:p w14:paraId="6A46270A">
      <w:pPr>
        <w:tabs>
          <w:tab w:val="left" w:pos="420"/>
        </w:tabs>
        <w:spacing w:line="360" w:lineRule="auto"/>
        <w:ind w:left="735" w:leftChars="350" w:firstLine="120" w:firstLineChars="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联系人：</w:t>
      </w:r>
      <w:r>
        <w:rPr>
          <w:rFonts w:hint="eastAsia" w:ascii="宋体" w:hAnsi="宋体" w:cs="宋体"/>
          <w:sz w:val="24"/>
          <w:szCs w:val="24"/>
          <w:highlight w:val="none"/>
          <w:u w:val="single"/>
          <w:lang w:val="en-US" w:eastAsia="zh-CN"/>
        </w:rPr>
        <w:t>邹维</w:t>
      </w:r>
      <w:r>
        <w:rPr>
          <w:rFonts w:hint="eastAsia" w:asciiTheme="minorEastAsia" w:hAnsiTheme="minorEastAsia" w:eastAsiaTheme="minorEastAsia" w:cstheme="minorEastAsia"/>
          <w:sz w:val="24"/>
          <w:szCs w:val="24"/>
          <w:highlight w:val="none"/>
        </w:rPr>
        <w:t>，联系电话：</w:t>
      </w:r>
      <w:r>
        <w:rPr>
          <w:rFonts w:hint="default" w:ascii="宋体" w:hAnsi="宋体" w:eastAsia="宋体" w:cs="宋体"/>
          <w:sz w:val="24"/>
          <w:szCs w:val="24"/>
          <w:highlight w:val="none"/>
          <w:u w:val="single"/>
        </w:rPr>
        <w:t>18883205208</w:t>
      </w:r>
      <w:r>
        <w:rPr>
          <w:rFonts w:hint="eastAsia" w:asciiTheme="minorEastAsia" w:hAnsiTheme="minorEastAsia" w:eastAsiaTheme="minorEastAsia" w:cstheme="minorEastAsia"/>
          <w:sz w:val="24"/>
          <w:szCs w:val="24"/>
          <w:highlight w:val="none"/>
        </w:rPr>
        <w:t>。</w:t>
      </w:r>
    </w:p>
    <w:p w14:paraId="2506B427">
      <w:pPr>
        <w:pStyle w:val="139"/>
        <w:numPr>
          <w:ilvl w:val="0"/>
          <w:numId w:val="14"/>
        </w:numPr>
        <w:tabs>
          <w:tab w:val="left" w:pos="851"/>
        </w:tabs>
        <w:spacing w:line="360" w:lineRule="auto"/>
        <w:ind w:left="851" w:hanging="851"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highlight w:val="none"/>
        </w:rPr>
        <w:t>投标人于</w:t>
      </w:r>
      <w:r>
        <w:rPr>
          <w:rFonts w:hint="eastAsia" w:asciiTheme="minorEastAsia" w:hAnsiTheme="minorEastAsia" w:eastAsiaTheme="minorEastAsia" w:cstheme="minorEastAsia"/>
          <w:b/>
          <w:sz w:val="24"/>
          <w:szCs w:val="24"/>
          <w:highlight w:val="none"/>
          <w:u w:val="single"/>
        </w:rPr>
        <w:t xml:space="preserve"> 20</w:t>
      </w:r>
      <w:r>
        <w:rPr>
          <w:rFonts w:hint="default" w:asciiTheme="minorEastAsia" w:hAnsiTheme="minorEastAsia" w:eastAsiaTheme="minorEastAsia" w:cstheme="minorEastAsia"/>
          <w:b/>
          <w:sz w:val="24"/>
          <w:szCs w:val="24"/>
          <w:highlight w:val="none"/>
          <w:u w:val="single"/>
        </w:rPr>
        <w:t>24</w:t>
      </w:r>
      <w:r>
        <w:rPr>
          <w:rFonts w:hint="eastAsia" w:asciiTheme="minorEastAsia" w:hAnsiTheme="minorEastAsia" w:eastAsiaTheme="minorEastAsia" w:cstheme="minorEastAsia"/>
          <w:b/>
          <w:sz w:val="24"/>
          <w:szCs w:val="24"/>
          <w:highlight w:val="none"/>
          <w:u w:val="single"/>
        </w:rPr>
        <w:t xml:space="preserve"> 年</w:t>
      </w:r>
      <w:r>
        <w:rPr>
          <w:rFonts w:hint="default" w:asciiTheme="minorEastAsia" w:hAnsiTheme="minorEastAsia" w:eastAsiaTheme="minorEastAsia" w:cstheme="minorEastAsia"/>
          <w:b/>
          <w:sz w:val="24"/>
          <w:szCs w:val="24"/>
          <w:highlight w:val="none"/>
          <w:u w:val="single"/>
          <w:lang w:eastAsia="zh-CN"/>
        </w:rPr>
        <w:t>1</w:t>
      </w:r>
      <w:r>
        <w:rPr>
          <w:rFonts w:hint="eastAsia" w:asciiTheme="minorEastAsia" w:hAnsiTheme="minorEastAsia" w:eastAsiaTheme="minorEastAsia" w:cstheme="minorEastAsia"/>
          <w:b/>
          <w:sz w:val="24"/>
          <w:szCs w:val="24"/>
          <w:highlight w:val="none"/>
          <w:u w:val="single"/>
          <w:lang w:val="en-US" w:eastAsia="zh-CN"/>
        </w:rPr>
        <w:t>2</w:t>
      </w:r>
      <w:r>
        <w:rPr>
          <w:rFonts w:hint="eastAsia" w:asciiTheme="minorEastAsia" w:hAnsiTheme="minorEastAsia" w:eastAsiaTheme="minorEastAsia" w:cstheme="minorEastAsia"/>
          <w:b/>
          <w:sz w:val="24"/>
          <w:szCs w:val="24"/>
          <w:highlight w:val="none"/>
          <w:u w:val="single"/>
        </w:rPr>
        <w:t>月</w:t>
      </w:r>
      <w:r>
        <w:rPr>
          <w:rFonts w:hint="eastAsia" w:asciiTheme="minorEastAsia" w:hAnsiTheme="minorEastAsia" w:eastAsiaTheme="minorEastAsia" w:cstheme="minorEastAsia"/>
          <w:b/>
          <w:sz w:val="24"/>
          <w:szCs w:val="24"/>
          <w:highlight w:val="none"/>
          <w:u w:val="single"/>
          <w:lang w:val="en-US" w:eastAsia="zh-CN"/>
        </w:rPr>
        <w:t>6</w:t>
      </w:r>
      <w:r>
        <w:rPr>
          <w:rFonts w:hint="eastAsia" w:asciiTheme="minorEastAsia" w:hAnsiTheme="minorEastAsia" w:eastAsiaTheme="minorEastAsia" w:cstheme="minorEastAsia"/>
          <w:b/>
          <w:sz w:val="24"/>
          <w:szCs w:val="24"/>
          <w:highlight w:val="none"/>
          <w:u w:val="single"/>
        </w:rPr>
        <w:t>日 1</w:t>
      </w:r>
      <w:r>
        <w:rPr>
          <w:rFonts w:hint="eastAsia" w:asciiTheme="minorEastAsia" w:hAnsiTheme="minorEastAsia" w:eastAsiaTheme="minorEastAsia" w:cstheme="minorEastAsia"/>
          <w:b/>
          <w:sz w:val="24"/>
          <w:szCs w:val="24"/>
          <w:highlight w:val="none"/>
          <w:u w:val="single"/>
          <w:lang w:val="en-US" w:eastAsia="zh-CN"/>
        </w:rPr>
        <w:t>2</w:t>
      </w:r>
      <w:r>
        <w:rPr>
          <w:rFonts w:hint="eastAsia" w:asciiTheme="minorEastAsia" w:hAnsiTheme="minorEastAsia" w:eastAsiaTheme="minorEastAsia" w:cstheme="minorEastAsia"/>
          <w:b/>
          <w:sz w:val="24"/>
          <w:szCs w:val="24"/>
          <w:highlight w:val="none"/>
          <w:u w:val="single"/>
        </w:rPr>
        <w:t xml:space="preserve">:00 </w:t>
      </w:r>
      <w:r>
        <w:rPr>
          <w:rFonts w:hint="eastAsia" w:asciiTheme="minorEastAsia" w:hAnsiTheme="minorEastAsia" w:eastAsiaTheme="minorEastAsia" w:cstheme="minorEastAsia"/>
          <w:b/>
          <w:sz w:val="24"/>
          <w:szCs w:val="24"/>
          <w:highlight w:val="none"/>
        </w:rPr>
        <w:t>时前</w:t>
      </w:r>
      <w:r>
        <w:rPr>
          <w:rFonts w:hint="eastAsia" w:ascii="宋体" w:hAnsi="宋体" w:eastAsia="宋体" w:cs="宋体"/>
          <w:sz w:val="24"/>
          <w:szCs w:val="24"/>
          <w:highlight w:val="none"/>
          <w:lang w:val="en-US" w:eastAsia="zh-CN"/>
        </w:rPr>
        <w:t>前向招标人递交书面质疑（盖章版）；按上述时间将疑问发至以下邮箱cqhlzyxy@163.com；</w:t>
      </w:r>
      <w:r>
        <w:rPr>
          <w:rFonts w:hint="eastAsia" w:ascii="宋体" w:hAnsi="宋体" w:eastAsia="宋体" w:cs="宋体"/>
          <w:color w:val="000000" w:themeColor="text1"/>
          <w:sz w:val="24"/>
          <w:szCs w:val="24"/>
          <w:u w:val="none"/>
          <w14:textFill>
            <w14:solidFill>
              <w14:schemeClr w14:val="tx1"/>
            </w14:solidFill>
          </w14:textFill>
        </w:rPr>
        <w:t>招标人根据书质疑以书面形式回答给各投标人</w:t>
      </w:r>
      <w:r>
        <w:rPr>
          <w:rFonts w:hint="eastAsia" w:ascii="宋体" w:hAnsi="宋体" w:eastAsia="宋体" w:cs="宋体"/>
          <w:color w:val="000000" w:themeColor="text1"/>
          <w:sz w:val="24"/>
          <w:szCs w:val="24"/>
          <w:u w:val="none"/>
          <w:lang w:eastAsia="zh-CN"/>
          <w14:textFill>
            <w14:solidFill>
              <w14:schemeClr w14:val="tx1"/>
            </w14:solidFill>
          </w14:textFill>
        </w:rPr>
        <w:t>，</w:t>
      </w:r>
      <w:r>
        <w:rPr>
          <w:rFonts w:hint="eastAsia" w:ascii="宋体" w:hAnsi="宋体" w:eastAsia="宋体" w:cs="宋体"/>
          <w:color w:val="000000" w:themeColor="text1"/>
          <w:sz w:val="24"/>
          <w:szCs w:val="24"/>
          <w:u w:val="none"/>
          <w14:textFill>
            <w14:solidFill>
              <w14:schemeClr w14:val="tx1"/>
            </w14:solidFill>
          </w14:textFill>
        </w:rPr>
        <w:t>并</w:t>
      </w:r>
      <w:r>
        <w:rPr>
          <w:rFonts w:hint="eastAsia" w:ascii="宋体" w:hAnsi="宋体" w:eastAsia="宋体" w:cs="宋体"/>
          <w:color w:val="000000" w:themeColor="text1"/>
          <w:sz w:val="24"/>
          <w:szCs w:val="24"/>
          <w:u w:val="none"/>
          <w:lang w:val="en-US" w:eastAsia="zh-CN"/>
          <w14:textFill>
            <w14:solidFill>
              <w14:schemeClr w14:val="tx1"/>
            </w14:solidFill>
          </w14:textFill>
        </w:rPr>
        <w:t>以电子邮件方式</w:t>
      </w:r>
      <w:r>
        <w:rPr>
          <w:rFonts w:hint="eastAsia" w:ascii="宋体" w:hAnsi="宋体" w:eastAsia="宋体" w:cs="宋体"/>
          <w:color w:val="000000" w:themeColor="text1"/>
          <w:sz w:val="24"/>
          <w:szCs w:val="24"/>
          <w:u w:val="none"/>
          <w14:textFill>
            <w14:solidFill>
              <w14:schemeClr w14:val="tx1"/>
            </w14:solidFill>
          </w14:textFill>
        </w:rPr>
        <w:t>发送给各投标人</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 xml:space="preserve"> </w:t>
      </w:r>
    </w:p>
    <w:p w14:paraId="1782B075">
      <w:pPr>
        <w:pStyle w:val="139"/>
        <w:numPr>
          <w:ilvl w:val="0"/>
          <w:numId w:val="14"/>
        </w:numPr>
        <w:tabs>
          <w:tab w:val="left" w:pos="851"/>
        </w:tabs>
        <w:spacing w:line="360" w:lineRule="auto"/>
        <w:ind w:left="851" w:hanging="851"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rPr>
        <w:t>投标人于</w:t>
      </w:r>
      <w:r>
        <w:rPr>
          <w:rFonts w:hint="eastAsia" w:asciiTheme="minorEastAsia" w:hAnsiTheme="minorEastAsia" w:eastAsiaTheme="minorEastAsia" w:cstheme="minorEastAsia"/>
          <w:b/>
          <w:sz w:val="24"/>
          <w:szCs w:val="24"/>
          <w:highlight w:val="none"/>
          <w:u w:val="single"/>
        </w:rPr>
        <w:t>20</w:t>
      </w:r>
      <w:r>
        <w:rPr>
          <w:rFonts w:hint="default" w:asciiTheme="minorEastAsia" w:hAnsiTheme="minorEastAsia" w:eastAsiaTheme="minorEastAsia" w:cstheme="minorEastAsia"/>
          <w:b/>
          <w:sz w:val="24"/>
          <w:szCs w:val="24"/>
          <w:highlight w:val="none"/>
          <w:u w:val="single"/>
        </w:rPr>
        <w:t>24</w:t>
      </w:r>
      <w:r>
        <w:rPr>
          <w:rFonts w:hint="eastAsia" w:asciiTheme="minorEastAsia" w:hAnsiTheme="minorEastAsia" w:eastAsiaTheme="minorEastAsia" w:cstheme="minorEastAsia"/>
          <w:b/>
          <w:sz w:val="24"/>
          <w:szCs w:val="24"/>
          <w:highlight w:val="none"/>
          <w:u w:val="single"/>
        </w:rPr>
        <w:t>年</w:t>
      </w:r>
      <w:r>
        <w:rPr>
          <w:rFonts w:hint="default" w:asciiTheme="minorEastAsia" w:hAnsiTheme="minorEastAsia" w:eastAsiaTheme="minorEastAsia" w:cstheme="minorEastAsia"/>
          <w:b/>
          <w:sz w:val="24"/>
          <w:szCs w:val="24"/>
          <w:highlight w:val="none"/>
          <w:u w:val="single"/>
          <w:lang w:eastAsia="zh-CN"/>
        </w:rPr>
        <w:t>12</w:t>
      </w:r>
      <w:r>
        <w:rPr>
          <w:rFonts w:hint="eastAsia" w:asciiTheme="minorEastAsia" w:hAnsiTheme="minorEastAsia" w:eastAsiaTheme="minorEastAsia" w:cstheme="minorEastAsia"/>
          <w:b/>
          <w:sz w:val="24"/>
          <w:szCs w:val="24"/>
          <w:highlight w:val="none"/>
          <w:u w:val="single"/>
        </w:rPr>
        <w:t>月</w:t>
      </w:r>
      <w:r>
        <w:rPr>
          <w:rFonts w:hint="eastAsia" w:asciiTheme="minorEastAsia" w:hAnsiTheme="minorEastAsia" w:eastAsiaTheme="minorEastAsia" w:cstheme="minorEastAsia"/>
          <w:b/>
          <w:sz w:val="24"/>
          <w:szCs w:val="24"/>
          <w:highlight w:val="none"/>
          <w:u w:val="single"/>
          <w:lang w:val="en-US" w:eastAsia="zh-CN"/>
        </w:rPr>
        <w:t>16</w:t>
      </w:r>
      <w:r>
        <w:rPr>
          <w:rFonts w:hint="eastAsia" w:asciiTheme="minorEastAsia" w:hAnsiTheme="minorEastAsia" w:eastAsiaTheme="minorEastAsia" w:cstheme="minorEastAsia"/>
          <w:b/>
          <w:sz w:val="24"/>
          <w:szCs w:val="24"/>
          <w:highlight w:val="none"/>
          <w:u w:val="single"/>
        </w:rPr>
        <w:t>日 1</w:t>
      </w:r>
      <w:r>
        <w:rPr>
          <w:rFonts w:hint="eastAsia" w:asciiTheme="minorEastAsia" w:hAnsiTheme="minorEastAsia" w:eastAsiaTheme="minorEastAsia" w:cstheme="minorEastAsia"/>
          <w:b/>
          <w:sz w:val="24"/>
          <w:szCs w:val="24"/>
          <w:highlight w:val="none"/>
          <w:u w:val="single"/>
          <w:lang w:val="en-US" w:eastAsia="zh-CN"/>
        </w:rPr>
        <w:t>4:00</w:t>
      </w:r>
      <w:r>
        <w:rPr>
          <w:rFonts w:hint="eastAsia" w:asciiTheme="minorEastAsia" w:hAnsiTheme="minorEastAsia" w:eastAsiaTheme="minorEastAsia" w:cstheme="minorEastAsia"/>
          <w:b/>
          <w:sz w:val="24"/>
          <w:szCs w:val="24"/>
          <w:highlight w:val="none"/>
          <w:u w:val="single"/>
        </w:rPr>
        <w:t xml:space="preserve"> </w:t>
      </w:r>
      <w:r>
        <w:rPr>
          <w:rFonts w:hint="eastAsia" w:asciiTheme="minorEastAsia" w:hAnsiTheme="minorEastAsia" w:eastAsiaTheme="minorEastAsia" w:cstheme="minorEastAsia"/>
          <w:b/>
          <w:sz w:val="24"/>
          <w:szCs w:val="24"/>
          <w:highlight w:val="none"/>
        </w:rPr>
        <w:t>时前</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HYPERLINK \l "投标截止时间" </w:instrText>
      </w:r>
      <w:r>
        <w:rPr>
          <w:rFonts w:hint="eastAsia" w:asciiTheme="minorEastAsia" w:hAnsiTheme="minorEastAsia" w:eastAsiaTheme="minorEastAsia" w:cstheme="minorEastAsia"/>
          <w:sz w:val="24"/>
          <w:szCs w:val="24"/>
          <w:highlight w:val="none"/>
        </w:rPr>
        <w:fldChar w:fldCharType="separate"/>
      </w:r>
      <w:r>
        <w:rPr>
          <w:rStyle w:val="50"/>
          <w:rFonts w:hint="eastAsia" w:asciiTheme="minorEastAsia" w:hAnsiTheme="minorEastAsia" w:eastAsiaTheme="minorEastAsia" w:cstheme="minorEastAsia"/>
          <w:color w:val="auto"/>
          <w:sz w:val="24"/>
          <w:szCs w:val="24"/>
          <w:highlight w:val="none"/>
        </w:rPr>
        <w:t>投标截止时间</w:t>
      </w:r>
      <w:r>
        <w:rPr>
          <w:rStyle w:val="50"/>
          <w:rFonts w:hint="eastAsia" w:asciiTheme="minorEastAsia" w:hAnsiTheme="minorEastAsia" w:eastAsiaTheme="minorEastAsia" w:cstheme="minorEastAsia"/>
          <w:color w:val="auto"/>
          <w:sz w:val="24"/>
          <w:szCs w:val="24"/>
          <w:highlight w:val="none"/>
        </w:rPr>
        <w:fldChar w:fldCharType="end"/>
      </w:r>
      <w:r>
        <w:rPr>
          <w:rFonts w:hint="eastAsia" w:asciiTheme="minorEastAsia" w:hAnsiTheme="minorEastAsia" w:eastAsiaTheme="minorEastAsia" w:cstheme="minorEastAsia"/>
          <w:sz w:val="24"/>
          <w:szCs w:val="24"/>
        </w:rPr>
        <w:t>），将投标文件送达</w:t>
      </w:r>
      <w:r>
        <w:rPr>
          <w:rFonts w:hint="eastAsia" w:asciiTheme="minorEastAsia" w:hAnsiTheme="minorEastAsia" w:eastAsiaTheme="minorEastAsia" w:cstheme="minorEastAsia"/>
          <w:sz w:val="24"/>
          <w:szCs w:val="24"/>
          <w:u w:val="single"/>
          <w:lang w:eastAsia="zh-CN"/>
        </w:rPr>
        <w:t>重庆海联职业技术学院</w:t>
      </w:r>
      <w:r>
        <w:rPr>
          <w:rFonts w:hint="eastAsia" w:asciiTheme="minorEastAsia" w:hAnsiTheme="minorEastAsia" w:eastAsiaTheme="minorEastAsia" w:cstheme="minorEastAsia"/>
          <w:sz w:val="24"/>
          <w:szCs w:val="24"/>
          <w:u w:val="single"/>
          <w:lang w:val="en-US" w:eastAsia="zh-CN"/>
        </w:rPr>
        <w:t>项目部</w:t>
      </w:r>
      <w:r>
        <w:rPr>
          <w:rFonts w:hint="eastAsia" w:asciiTheme="minorEastAsia" w:hAnsiTheme="minorEastAsia" w:eastAsiaTheme="minorEastAsia" w:cstheme="minorEastAsia"/>
          <w:sz w:val="24"/>
          <w:szCs w:val="24"/>
        </w:rPr>
        <w:t>。</w:t>
      </w:r>
    </w:p>
    <w:p w14:paraId="123B82ED">
      <w:pPr>
        <w:pStyle w:val="139"/>
        <w:numPr>
          <w:ilvl w:val="0"/>
          <w:numId w:val="6"/>
        </w:numPr>
        <w:spacing w:line="360" w:lineRule="auto"/>
        <w:ind w:left="851" w:hanging="851" w:firstLine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投标费用</w:t>
      </w:r>
    </w:p>
    <w:p w14:paraId="10F3A451">
      <w:pPr>
        <w:pStyle w:val="17"/>
        <w:pageBreakBefore w:val="0"/>
        <w:kinsoku/>
        <w:wordWrap/>
        <w:overflowPunct/>
        <w:topLinePunct w:val="0"/>
        <w:bidi w:val="0"/>
        <w:spacing w:line="360" w:lineRule="auto"/>
        <w:ind w:left="836" w:leftChars="398"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投标人应承担其编制投标文件与递交投标文件所涉及的一切费用。不论投标结果如何，招标人在任何情况下均不负责承担这些费用。</w:t>
      </w:r>
    </w:p>
    <w:p w14:paraId="5B8279D4">
      <w:pPr>
        <w:pStyle w:val="139"/>
        <w:numPr>
          <w:ilvl w:val="0"/>
          <w:numId w:val="6"/>
        </w:numPr>
        <w:spacing w:line="360" w:lineRule="auto"/>
        <w:ind w:left="851" w:hanging="851" w:firstLine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踏勘现场</w:t>
      </w:r>
    </w:p>
    <w:p w14:paraId="376B9D92">
      <w:pPr>
        <w:pStyle w:val="139"/>
        <w:keepNext w:val="0"/>
        <w:keepLines w:val="0"/>
        <w:pageBreakBefore w:val="0"/>
        <w:widowControl w:val="0"/>
        <w:numPr>
          <w:ilvl w:val="0"/>
          <w:numId w:val="15"/>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highlight w:val="none"/>
        </w:rPr>
      </w:pPr>
      <w:bookmarkStart w:id="80" w:name="_Toc97108199"/>
      <w:r>
        <w:rPr>
          <w:rFonts w:hint="eastAsia" w:asciiTheme="minorEastAsia" w:hAnsiTheme="minorEastAsia" w:eastAsiaTheme="minorEastAsia" w:cstheme="minorEastAsia"/>
          <w:sz w:val="24"/>
          <w:szCs w:val="24"/>
          <w:highlight w:val="none"/>
        </w:rPr>
        <w:t>投标人应按本须知第4.2款自行组织工程现场及周围环境踏勘，以便获取投标人须自己负责的有关编制投标文件和签署合同所需的所有资料。无论投标人是否踏勘过现场，均被认为在递交投标文件之前已经踏勘了现场，对本合同项目的风险和义务已经十分了解，并在其投标文件中已充分考虑了现场和环境条件。踏勘现场所发生的费用由投标人自行承担。</w:t>
      </w:r>
    </w:p>
    <w:p w14:paraId="58A371FE">
      <w:pPr>
        <w:pStyle w:val="139"/>
        <w:keepNext w:val="0"/>
        <w:keepLines w:val="0"/>
        <w:pageBreakBefore w:val="0"/>
        <w:widowControl w:val="0"/>
        <w:numPr>
          <w:ilvl w:val="0"/>
          <w:numId w:val="15"/>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招标人向投标人提供有关现场的资料和数据，是招标人现有的能使投标人利用的资料。招标人对投标人由此做出的推论、理解和结论概不负责。</w:t>
      </w:r>
    </w:p>
    <w:p w14:paraId="39AED897">
      <w:pPr>
        <w:pStyle w:val="139"/>
        <w:keepNext w:val="0"/>
        <w:keepLines w:val="0"/>
        <w:pageBreakBefore w:val="0"/>
        <w:widowControl w:val="0"/>
        <w:numPr>
          <w:ilvl w:val="0"/>
          <w:numId w:val="15"/>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ascii="宋体" w:hAnsi="宋体"/>
          <w:szCs w:val="21"/>
        </w:rPr>
      </w:pPr>
      <w:r>
        <w:rPr>
          <w:rFonts w:hint="eastAsia" w:asciiTheme="minorEastAsia" w:hAnsiTheme="minorEastAsia" w:eastAsiaTheme="minorEastAsia" w:cstheme="minorEastAsia"/>
          <w:sz w:val="24"/>
          <w:szCs w:val="24"/>
          <w:highlight w:val="none"/>
        </w:rPr>
        <w:t>如果投标人认为需要再次进行现场踏勘，招标人将尽可能予以支持，但所发生的费用由投标人自理；投标人并应对踏勘现场而造成的死亡、人身伤害、财产损失、损害以及任何其它损失、损害和引起的费用和开支承担责任。</w:t>
      </w:r>
    </w:p>
    <w:p w14:paraId="3354D547">
      <w:pPr>
        <w:pStyle w:val="3"/>
        <w:keepNext/>
        <w:keepLines/>
        <w:pageBreakBefore w:val="0"/>
        <w:widowControl w:val="0"/>
        <w:kinsoku/>
        <w:wordWrap/>
        <w:overflowPunct/>
        <w:topLinePunct w:val="0"/>
        <w:autoSpaceDE/>
        <w:autoSpaceDN/>
        <w:bidi w:val="0"/>
        <w:adjustRightInd/>
        <w:snapToGrid/>
        <w:spacing w:before="0" w:beforeLines="50" w:after="0" w:afterLines="50" w:line="360" w:lineRule="auto"/>
        <w:jc w:val="center"/>
        <w:textAlignment w:val="auto"/>
        <w:rPr>
          <w:rFonts w:ascii="宋体" w:hAnsi="宋体" w:eastAsia="宋体"/>
          <w:sz w:val="30"/>
          <w:szCs w:val="30"/>
        </w:rPr>
      </w:pPr>
      <w:bookmarkStart w:id="81" w:name="_Toc9299"/>
      <w:bookmarkStart w:id="82" w:name="_Toc15733"/>
      <w:bookmarkStart w:id="83" w:name="_Toc20407"/>
      <w:bookmarkStart w:id="84" w:name="_Toc10620"/>
      <w:bookmarkStart w:id="85" w:name="_Toc21904"/>
      <w:bookmarkStart w:id="86" w:name="_Toc24408"/>
      <w:bookmarkStart w:id="87" w:name="_Toc4837"/>
      <w:bookmarkStart w:id="88" w:name="_Toc21177"/>
      <w:bookmarkStart w:id="89" w:name="_Toc19521"/>
      <w:bookmarkStart w:id="90" w:name="_Toc255"/>
      <w:bookmarkStart w:id="91" w:name="_Toc9127"/>
      <w:bookmarkStart w:id="92" w:name="_Toc421807498"/>
      <w:bookmarkStart w:id="93" w:name="_Toc12325"/>
      <w:bookmarkStart w:id="94" w:name="_Toc29492"/>
      <w:bookmarkStart w:id="95" w:name="_Toc13682"/>
      <w:bookmarkStart w:id="96" w:name="_Toc17786"/>
      <w:bookmarkStart w:id="97" w:name="_Toc27837"/>
      <w:r>
        <w:rPr>
          <w:rFonts w:hint="eastAsia" w:ascii="宋体" w:hAnsi="宋体" w:eastAsia="宋体"/>
          <w:sz w:val="30"/>
          <w:szCs w:val="30"/>
        </w:rPr>
        <w:t>二、招标文件</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1796345D">
      <w:pPr>
        <w:pStyle w:val="139"/>
        <w:numPr>
          <w:ilvl w:val="0"/>
          <w:numId w:val="6"/>
        </w:numPr>
        <w:spacing w:line="360" w:lineRule="auto"/>
        <w:ind w:left="851" w:hanging="851" w:firstLineChars="0"/>
        <w:rPr>
          <w:rFonts w:ascii="宋体" w:hAnsi="宋体"/>
          <w:b/>
          <w:bCs/>
          <w:sz w:val="24"/>
          <w:szCs w:val="24"/>
        </w:rPr>
      </w:pPr>
      <w:r>
        <w:rPr>
          <w:rFonts w:hint="eastAsia" w:ascii="宋体" w:hAnsi="宋体"/>
          <w:b/>
          <w:bCs/>
          <w:sz w:val="24"/>
          <w:szCs w:val="24"/>
        </w:rPr>
        <w:t>招标文件的组成</w:t>
      </w:r>
    </w:p>
    <w:p w14:paraId="386EEFE7">
      <w:pPr>
        <w:pStyle w:val="139"/>
        <w:keepNext w:val="0"/>
        <w:keepLines w:val="0"/>
        <w:pageBreakBefore w:val="0"/>
        <w:widowControl w:val="0"/>
        <w:numPr>
          <w:ilvl w:val="0"/>
          <w:numId w:val="16"/>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招标文件除以下内容（第7.2条）外，还包括招标人在招标期间所发出的书面有效答疑纪要、补充通知或修订函件等，均是招标文件的组成部分，对投标人起约束作用。</w:t>
      </w:r>
    </w:p>
    <w:p w14:paraId="6C66F7DC">
      <w:pPr>
        <w:pStyle w:val="139"/>
        <w:keepNext w:val="0"/>
        <w:keepLines w:val="0"/>
        <w:pageBreakBefore w:val="0"/>
        <w:widowControl w:val="0"/>
        <w:numPr>
          <w:ilvl w:val="0"/>
          <w:numId w:val="16"/>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招标文件包括下列内容：</w:t>
      </w:r>
    </w:p>
    <w:p w14:paraId="5960F1AB">
      <w:pPr>
        <w:spacing w:line="360" w:lineRule="auto"/>
        <w:ind w:left="731" w:leftChars="348" w:firstLine="120" w:firstLineChars="50"/>
        <w:rPr>
          <w:rFonts w:ascii="宋体" w:hAnsi="宋体"/>
          <w:sz w:val="24"/>
          <w:szCs w:val="24"/>
          <w:highlight w:val="none"/>
        </w:rPr>
      </w:pPr>
      <w:r>
        <w:rPr>
          <w:rFonts w:hint="eastAsia" w:ascii="宋体" w:hAnsi="宋体"/>
          <w:sz w:val="24"/>
          <w:szCs w:val="24"/>
          <w:highlight w:val="none"/>
        </w:rPr>
        <w:t>第一部分  投标人须知</w:t>
      </w:r>
    </w:p>
    <w:p w14:paraId="39820923">
      <w:pPr>
        <w:spacing w:line="360" w:lineRule="auto"/>
        <w:ind w:firstLine="1440" w:firstLineChars="600"/>
        <w:rPr>
          <w:rFonts w:ascii="宋体" w:hAnsi="宋体"/>
          <w:sz w:val="24"/>
          <w:szCs w:val="24"/>
          <w:highlight w:val="none"/>
        </w:rPr>
      </w:pPr>
      <w:r>
        <w:rPr>
          <w:rFonts w:hint="eastAsia" w:ascii="宋体" w:hAnsi="宋体"/>
          <w:sz w:val="24"/>
          <w:szCs w:val="24"/>
          <w:highlight w:val="none"/>
        </w:rPr>
        <w:t>前附表</w:t>
      </w:r>
    </w:p>
    <w:p w14:paraId="2525313B">
      <w:pPr>
        <w:numPr>
          <w:ilvl w:val="1"/>
          <w:numId w:val="17"/>
        </w:numPr>
        <w:spacing w:line="360" w:lineRule="auto"/>
        <w:ind w:hanging="345"/>
        <w:rPr>
          <w:rFonts w:ascii="宋体" w:hAnsi="宋体"/>
          <w:sz w:val="24"/>
          <w:szCs w:val="24"/>
          <w:highlight w:val="none"/>
        </w:rPr>
      </w:pPr>
      <w:r>
        <w:rPr>
          <w:rFonts w:hint="eastAsia" w:ascii="宋体" w:hAnsi="宋体"/>
          <w:sz w:val="24"/>
          <w:szCs w:val="24"/>
          <w:highlight w:val="none"/>
        </w:rPr>
        <w:t xml:space="preserve"> 投标人须知</w:t>
      </w:r>
    </w:p>
    <w:p w14:paraId="466FFAA2">
      <w:pPr>
        <w:numPr>
          <w:ilvl w:val="1"/>
          <w:numId w:val="17"/>
        </w:numPr>
        <w:spacing w:line="360" w:lineRule="auto"/>
        <w:ind w:hanging="345"/>
        <w:rPr>
          <w:rFonts w:ascii="宋体" w:hAnsi="宋体"/>
          <w:sz w:val="24"/>
          <w:szCs w:val="24"/>
          <w:highlight w:val="none"/>
        </w:rPr>
      </w:pPr>
      <w:r>
        <w:rPr>
          <w:rFonts w:hint="eastAsia" w:ascii="宋体" w:hAnsi="宋体"/>
          <w:sz w:val="24"/>
          <w:szCs w:val="24"/>
          <w:highlight w:val="none"/>
        </w:rPr>
        <w:t xml:space="preserve"> 投标文件格式</w:t>
      </w:r>
    </w:p>
    <w:p w14:paraId="6CBF4EC1">
      <w:pPr>
        <w:spacing w:line="360" w:lineRule="auto"/>
        <w:ind w:firstLine="960" w:firstLineChars="400"/>
        <w:rPr>
          <w:rFonts w:ascii="宋体" w:hAnsi="宋体"/>
          <w:sz w:val="24"/>
          <w:szCs w:val="24"/>
        </w:rPr>
      </w:pPr>
      <w:r>
        <w:rPr>
          <w:rFonts w:hint="eastAsia" w:ascii="宋体" w:hAnsi="宋体"/>
          <w:sz w:val="24"/>
          <w:szCs w:val="24"/>
        </w:rPr>
        <w:t>第二部分  合同条款</w:t>
      </w:r>
    </w:p>
    <w:p w14:paraId="1A817659">
      <w:pPr>
        <w:numPr>
          <w:ilvl w:val="1"/>
          <w:numId w:val="17"/>
        </w:numPr>
        <w:spacing w:line="360" w:lineRule="auto"/>
        <w:ind w:hanging="345"/>
        <w:rPr>
          <w:rFonts w:ascii="宋体" w:hAnsi="宋体"/>
          <w:sz w:val="24"/>
          <w:szCs w:val="24"/>
        </w:rPr>
      </w:pPr>
      <w:r>
        <w:rPr>
          <w:rFonts w:hint="eastAsia" w:ascii="宋体" w:hAnsi="宋体"/>
          <w:sz w:val="24"/>
          <w:szCs w:val="24"/>
        </w:rPr>
        <w:t xml:space="preserve"> 合同条款 </w:t>
      </w:r>
    </w:p>
    <w:p w14:paraId="5CE5AFBB">
      <w:pPr>
        <w:spacing w:line="360" w:lineRule="auto"/>
        <w:ind w:firstLine="960" w:firstLineChars="4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第三部分  技术标准和工程建设标准</w:t>
      </w:r>
    </w:p>
    <w:p w14:paraId="79595058">
      <w:pPr>
        <w:numPr>
          <w:ilvl w:val="1"/>
          <w:numId w:val="17"/>
        </w:numPr>
        <w:spacing w:line="360" w:lineRule="auto"/>
        <w:ind w:hanging="345"/>
        <w:rPr>
          <w:rFonts w:ascii="宋体" w:hAnsi="宋体"/>
          <w:sz w:val="24"/>
          <w:szCs w:val="24"/>
          <w:highlight w:val="none"/>
        </w:rPr>
      </w:pPr>
      <w:r>
        <w:rPr>
          <w:rFonts w:hint="eastAsia" w:ascii="宋体" w:hAnsi="宋体"/>
          <w:sz w:val="24"/>
          <w:szCs w:val="24"/>
          <w:highlight w:val="none"/>
        </w:rPr>
        <w:t xml:space="preserve"> </w:t>
      </w:r>
      <w:r>
        <w:rPr>
          <w:rFonts w:hint="eastAsia" w:ascii="宋体" w:hAnsi="宋体" w:eastAsia="宋体" w:cs="Times New Roman"/>
          <w:sz w:val="24"/>
          <w:szCs w:val="24"/>
          <w:highlight w:val="none"/>
        </w:rPr>
        <w:t>技术标准和工程建设标准</w:t>
      </w:r>
      <w:r>
        <w:rPr>
          <w:rFonts w:hint="eastAsia" w:ascii="宋体" w:hAnsi="宋体"/>
          <w:sz w:val="24"/>
          <w:szCs w:val="24"/>
          <w:highlight w:val="none"/>
        </w:rPr>
        <w:t xml:space="preserve"> </w:t>
      </w:r>
    </w:p>
    <w:p w14:paraId="312A195E">
      <w:pPr>
        <w:spacing w:line="360" w:lineRule="auto"/>
        <w:ind w:firstLine="960" w:firstLineChars="400"/>
        <w:rPr>
          <w:rFonts w:hint="default" w:ascii="宋体" w:hAnsi="宋体" w:eastAsia="宋体"/>
          <w:sz w:val="24"/>
          <w:szCs w:val="24"/>
          <w:highlight w:val="none"/>
          <w:lang w:val="en-US" w:eastAsia="zh-CN"/>
        </w:rPr>
      </w:pPr>
      <w:r>
        <w:rPr>
          <w:rFonts w:hint="eastAsia" w:ascii="宋体" w:hAnsi="宋体"/>
          <w:sz w:val="24"/>
          <w:szCs w:val="24"/>
          <w:highlight w:val="none"/>
        </w:rPr>
        <w:t xml:space="preserve">第四部分  </w:t>
      </w:r>
      <w:r>
        <w:rPr>
          <w:rFonts w:hint="eastAsia" w:ascii="宋体" w:hAnsi="宋体"/>
          <w:sz w:val="24"/>
          <w:szCs w:val="24"/>
          <w:highlight w:val="none"/>
          <w:lang w:val="en-US" w:eastAsia="zh-CN"/>
        </w:rPr>
        <w:t>合同清单</w:t>
      </w:r>
    </w:p>
    <w:p w14:paraId="56489061">
      <w:pPr>
        <w:spacing w:line="360" w:lineRule="auto"/>
        <w:ind w:left="525" w:leftChars="250" w:firstLine="360" w:firstLineChars="150"/>
        <w:rPr>
          <w:rFonts w:ascii="宋体" w:hAnsi="宋体"/>
          <w:sz w:val="24"/>
          <w:szCs w:val="24"/>
          <w:highlight w:val="none"/>
        </w:rPr>
      </w:pPr>
      <w:r>
        <w:rPr>
          <w:rFonts w:hint="eastAsia" w:ascii="宋体" w:hAnsi="宋体"/>
          <w:sz w:val="24"/>
          <w:szCs w:val="24"/>
          <w:highlight w:val="none"/>
        </w:rPr>
        <w:t>第五部分  附件</w:t>
      </w:r>
    </w:p>
    <w:p w14:paraId="56A77F55">
      <w:pPr>
        <w:numPr>
          <w:ilvl w:val="1"/>
          <w:numId w:val="17"/>
        </w:numPr>
        <w:spacing w:line="360" w:lineRule="auto"/>
        <w:ind w:hanging="345"/>
        <w:rPr>
          <w:rFonts w:ascii="宋体" w:hAnsi="宋体"/>
          <w:sz w:val="24"/>
          <w:szCs w:val="24"/>
          <w:highlight w:val="none"/>
        </w:rPr>
      </w:pPr>
      <w:r>
        <w:rPr>
          <w:rFonts w:hint="eastAsia" w:ascii="宋体" w:hAnsi="宋体"/>
          <w:sz w:val="24"/>
          <w:szCs w:val="24"/>
          <w:highlight w:val="none"/>
        </w:rPr>
        <w:t xml:space="preserve">附件 </w:t>
      </w:r>
    </w:p>
    <w:p w14:paraId="310147D9">
      <w:pPr>
        <w:pStyle w:val="139"/>
        <w:keepNext w:val="0"/>
        <w:keepLines w:val="0"/>
        <w:pageBreakBefore w:val="0"/>
        <w:widowControl w:val="0"/>
        <w:numPr>
          <w:ilvl w:val="0"/>
          <w:numId w:val="16"/>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投标人获得招标文件后，应仔细检查招标文件的所有内容（包括招标人应提供的各种文件、资料和图纸等），如有残缺（如各种漏掉的附件、附表等），应在领到招标文件后2个日历日内向招标人书面提出，否则，由此引起的投标损失由投标人自负。</w:t>
      </w:r>
    </w:p>
    <w:p w14:paraId="19AE9D97">
      <w:pPr>
        <w:pStyle w:val="139"/>
        <w:keepNext w:val="0"/>
        <w:keepLines w:val="0"/>
        <w:pageBreakBefore w:val="0"/>
        <w:widowControl w:val="0"/>
        <w:numPr>
          <w:ilvl w:val="0"/>
          <w:numId w:val="16"/>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b/>
          <w:bCs/>
          <w:sz w:val="24"/>
          <w:szCs w:val="24"/>
          <w:highlight w:val="none"/>
        </w:rPr>
      </w:pPr>
      <w:r>
        <w:rPr>
          <w:rFonts w:hint="eastAsia" w:ascii="宋体" w:hAnsi="宋体"/>
          <w:b/>
          <w:bCs/>
          <w:sz w:val="24"/>
          <w:szCs w:val="24"/>
          <w:highlight w:val="none"/>
        </w:rPr>
        <w:t>投标人必须认真阅读招标文件的所有条款，在充分理解后，对招标文件作出实质性响应。本招标文件约定的实质性响应办法为：投标人向招标人作出了投标报价，即只要投标人对招标人作出了投标要约，则视为完全响应了招标人的各项要约邀请条件。</w:t>
      </w:r>
    </w:p>
    <w:p w14:paraId="04D21A0C">
      <w:pPr>
        <w:pStyle w:val="139"/>
        <w:widowControl/>
        <w:numPr>
          <w:ilvl w:val="0"/>
          <w:numId w:val="6"/>
        </w:numPr>
        <w:spacing w:line="360" w:lineRule="auto"/>
        <w:ind w:left="851" w:hanging="851" w:firstLineChars="0"/>
        <w:jc w:val="left"/>
        <w:rPr>
          <w:rFonts w:ascii="宋体" w:hAnsi="宋体"/>
          <w:b/>
          <w:bCs/>
          <w:sz w:val="24"/>
          <w:szCs w:val="24"/>
        </w:rPr>
      </w:pPr>
      <w:r>
        <w:rPr>
          <w:rFonts w:hint="eastAsia" w:ascii="宋体" w:hAnsi="宋体"/>
          <w:b/>
          <w:bCs/>
          <w:sz w:val="24"/>
          <w:szCs w:val="24"/>
        </w:rPr>
        <w:t>招标文件的澄清</w:t>
      </w:r>
    </w:p>
    <w:p w14:paraId="4ADA7E22">
      <w:pPr>
        <w:spacing w:line="360" w:lineRule="auto"/>
        <w:ind w:left="840" w:leftChars="400" w:firstLine="12" w:firstLineChars="5"/>
        <w:rPr>
          <w:rFonts w:ascii="宋体" w:hAnsi="宋体"/>
          <w:b/>
          <w:sz w:val="24"/>
          <w:szCs w:val="24"/>
        </w:rPr>
      </w:pPr>
      <w:r>
        <w:rPr>
          <w:rFonts w:ascii="宋体" w:hAnsi="宋体"/>
          <w:sz w:val="24"/>
          <w:szCs w:val="24"/>
        </w:rPr>
        <w:t>招标人根据投标人的要求对招标文件做出澄清，将于投标截止时间前以书面形式予以澄清，同时将书面澄清文件向所有投标人发送。</w:t>
      </w:r>
      <w:r>
        <w:rPr>
          <w:rFonts w:hint="eastAsia" w:ascii="宋体" w:hAnsi="宋体"/>
          <w:sz w:val="24"/>
          <w:szCs w:val="24"/>
        </w:rPr>
        <w:t>澄清文件中不反映提出质疑的投标人名称。</w:t>
      </w:r>
      <w:r>
        <w:rPr>
          <w:rFonts w:ascii="宋体" w:hAnsi="宋体"/>
          <w:sz w:val="24"/>
          <w:szCs w:val="24"/>
        </w:rPr>
        <w:t>投标人在收到该澄清文件后应于</w:t>
      </w:r>
      <w:r>
        <w:rPr>
          <w:rFonts w:hint="eastAsia" w:ascii="宋体" w:hAnsi="宋体"/>
          <w:sz w:val="24"/>
          <w:szCs w:val="24"/>
        </w:rPr>
        <w:t>1</w:t>
      </w:r>
      <w:r>
        <w:rPr>
          <w:rFonts w:ascii="宋体" w:hAnsi="宋体"/>
          <w:sz w:val="24"/>
          <w:szCs w:val="24"/>
        </w:rPr>
        <w:t>日内，以书面形式给予确认，该澄清作为招标文件的组成部分，</w:t>
      </w:r>
      <w:r>
        <w:rPr>
          <w:rFonts w:hint="eastAsia" w:ascii="宋体" w:hAnsi="宋体"/>
          <w:sz w:val="24"/>
          <w:szCs w:val="24"/>
        </w:rPr>
        <w:t>招标人、投标人均</w:t>
      </w:r>
      <w:r>
        <w:rPr>
          <w:rFonts w:ascii="宋体" w:hAnsi="宋体"/>
          <w:sz w:val="24"/>
          <w:szCs w:val="24"/>
        </w:rPr>
        <w:t>具有约束作用。当招标文件的</w:t>
      </w:r>
      <w:r>
        <w:rPr>
          <w:rFonts w:hint="eastAsia" w:ascii="宋体" w:hAnsi="宋体"/>
          <w:sz w:val="24"/>
          <w:szCs w:val="24"/>
        </w:rPr>
        <w:t>澄清</w:t>
      </w:r>
      <w:r>
        <w:rPr>
          <w:rFonts w:ascii="宋体" w:hAnsi="宋体"/>
          <w:sz w:val="24"/>
          <w:szCs w:val="24"/>
        </w:rPr>
        <w:t>在同一内容的表述上不一致时，以最后发出的书面文件为准。</w:t>
      </w:r>
    </w:p>
    <w:p w14:paraId="56CD2339">
      <w:pPr>
        <w:pStyle w:val="139"/>
        <w:widowControl/>
        <w:numPr>
          <w:ilvl w:val="0"/>
          <w:numId w:val="6"/>
        </w:numPr>
        <w:spacing w:line="360" w:lineRule="auto"/>
        <w:ind w:left="851" w:hanging="851" w:firstLineChars="0"/>
        <w:jc w:val="left"/>
        <w:rPr>
          <w:rFonts w:ascii="宋体" w:hAnsi="宋体"/>
          <w:b/>
          <w:bCs/>
          <w:sz w:val="24"/>
          <w:szCs w:val="24"/>
        </w:rPr>
      </w:pPr>
      <w:r>
        <w:rPr>
          <w:rFonts w:hint="eastAsia" w:ascii="宋体" w:hAnsi="宋体"/>
          <w:b/>
          <w:bCs/>
          <w:sz w:val="24"/>
          <w:szCs w:val="24"/>
        </w:rPr>
        <w:t>招标文件的修改</w:t>
      </w:r>
    </w:p>
    <w:p w14:paraId="376CD0CF">
      <w:pPr>
        <w:pStyle w:val="139"/>
        <w:keepNext w:val="0"/>
        <w:keepLines w:val="0"/>
        <w:pageBreakBefore w:val="0"/>
        <w:widowControl w:val="0"/>
        <w:numPr>
          <w:ilvl w:val="0"/>
          <w:numId w:val="18"/>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招标文件发出后，在投标截止日期前的任何时候，无论出于何种原因，招标人可主动地或在解答投标人提出的澄清问题时对招标文件进行修改；</w:t>
      </w:r>
    </w:p>
    <w:p w14:paraId="1A6BDC57">
      <w:pPr>
        <w:pStyle w:val="139"/>
        <w:keepNext w:val="0"/>
        <w:keepLines w:val="0"/>
        <w:pageBreakBefore w:val="0"/>
        <w:widowControl w:val="0"/>
        <w:numPr>
          <w:ilvl w:val="0"/>
          <w:numId w:val="18"/>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招标文件的修改将以书面形式递交给所有</w:t>
      </w:r>
      <w:r>
        <w:rPr>
          <w:rFonts w:hint="eastAsia" w:ascii="宋体" w:hAnsi="宋体"/>
          <w:sz w:val="24"/>
          <w:szCs w:val="24"/>
          <w:highlight w:val="none"/>
          <w:lang w:eastAsia="zh-CN"/>
        </w:rPr>
        <w:t>领取</w:t>
      </w:r>
      <w:r>
        <w:rPr>
          <w:rFonts w:hint="eastAsia" w:ascii="宋体" w:hAnsi="宋体"/>
          <w:sz w:val="24"/>
          <w:szCs w:val="24"/>
          <w:highlight w:val="none"/>
        </w:rPr>
        <w:t>招标文件的投标人，招标文件一经招标人修改，将以修改后的招标文件为准，对投标人产生约束力。</w:t>
      </w:r>
    </w:p>
    <w:p w14:paraId="518A4CA9">
      <w:pPr>
        <w:pStyle w:val="139"/>
        <w:keepNext w:val="0"/>
        <w:keepLines w:val="0"/>
        <w:pageBreakBefore w:val="0"/>
        <w:widowControl w:val="0"/>
        <w:numPr>
          <w:ilvl w:val="0"/>
          <w:numId w:val="18"/>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hint="eastAsia" w:ascii="宋体" w:hAnsi="宋体"/>
          <w:sz w:val="24"/>
          <w:szCs w:val="24"/>
          <w:highlight w:val="none"/>
        </w:rPr>
      </w:pPr>
      <w:r>
        <w:rPr>
          <w:rFonts w:hint="eastAsia" w:ascii="宋体" w:hAnsi="宋体"/>
          <w:sz w:val="24"/>
          <w:szCs w:val="24"/>
          <w:highlight w:val="none"/>
        </w:rPr>
        <w:t>招标文件、招标文件澄清、修改的内容，均以书面形式明确的内容为准。当招标文件、招标文件澄清、修改内容相互矛盾时，以最后发出的通知（或纪要）或修改文件为准；电话或口头咨询和答复的意思解释均不具有法律约束力。</w:t>
      </w:r>
    </w:p>
    <w:p w14:paraId="1BC799CB">
      <w:pPr>
        <w:pStyle w:val="139"/>
        <w:widowControl/>
        <w:numPr>
          <w:ilvl w:val="0"/>
          <w:numId w:val="6"/>
        </w:numPr>
        <w:spacing w:line="360" w:lineRule="auto"/>
        <w:ind w:left="851" w:hanging="851" w:firstLineChars="0"/>
        <w:jc w:val="left"/>
        <w:rPr>
          <w:rFonts w:ascii="宋体" w:hAnsi="宋体"/>
          <w:b/>
          <w:bCs/>
          <w:sz w:val="24"/>
          <w:szCs w:val="24"/>
        </w:rPr>
      </w:pPr>
      <w:r>
        <w:rPr>
          <w:rFonts w:hint="eastAsia" w:ascii="宋体" w:hAnsi="宋体"/>
          <w:b/>
          <w:bCs/>
          <w:sz w:val="24"/>
          <w:szCs w:val="24"/>
        </w:rPr>
        <w:t>投标保证金的提交</w:t>
      </w:r>
    </w:p>
    <w:p w14:paraId="6C74F774">
      <w:pPr>
        <w:pStyle w:val="139"/>
        <w:widowControl/>
        <w:numPr>
          <w:ilvl w:val="0"/>
          <w:numId w:val="19"/>
        </w:numPr>
        <w:spacing w:line="360" w:lineRule="auto"/>
        <w:ind w:left="851" w:hanging="851" w:firstLineChars="0"/>
        <w:jc w:val="left"/>
        <w:rPr>
          <w:rFonts w:hint="eastAsia" w:ascii="宋体" w:hAnsi="宋体" w:eastAsia="宋体"/>
          <w:sz w:val="30"/>
          <w:szCs w:val="30"/>
        </w:rPr>
      </w:pPr>
      <w:r>
        <w:rPr>
          <w:rFonts w:hint="eastAsia" w:ascii="宋体" w:hAnsi="宋体"/>
          <w:sz w:val="24"/>
          <w:szCs w:val="24"/>
        </w:rPr>
        <w:t>投标人提供本工程的投标保证为投标保证金，形式为银行转账方式，其金额为人民币：</w:t>
      </w:r>
      <w:r>
        <w:rPr>
          <w:rFonts w:hint="eastAsia" w:ascii="宋体" w:hAnsi="宋体"/>
          <w:b/>
          <w:sz w:val="24"/>
          <w:szCs w:val="24"/>
          <w:u w:val="single"/>
        </w:rPr>
        <w:t xml:space="preserve"> </w:t>
      </w:r>
      <w:r>
        <w:rPr>
          <w:rFonts w:hint="eastAsia" w:ascii="宋体" w:hAnsi="宋体"/>
          <w:b/>
          <w:sz w:val="24"/>
          <w:szCs w:val="24"/>
          <w:u w:val="single"/>
          <w:lang w:val="en-US" w:eastAsia="zh-CN"/>
        </w:rPr>
        <w:t xml:space="preserve">/ </w:t>
      </w:r>
      <w:r>
        <w:rPr>
          <w:rFonts w:hint="eastAsia" w:ascii="宋体" w:hAnsi="宋体"/>
          <w:b/>
          <w:sz w:val="24"/>
          <w:szCs w:val="24"/>
          <w:u w:val="single"/>
        </w:rPr>
        <w:t xml:space="preserve">元 </w:t>
      </w:r>
      <w:r>
        <w:rPr>
          <w:rFonts w:hint="eastAsia" w:ascii="宋体" w:hAnsi="宋体"/>
          <w:b/>
          <w:sz w:val="24"/>
          <w:szCs w:val="24"/>
        </w:rPr>
        <w:t>（大写：</w:t>
      </w:r>
      <w:r>
        <w:rPr>
          <w:rFonts w:hint="eastAsia" w:ascii="宋体" w:hAnsi="宋体"/>
          <w:b/>
          <w:sz w:val="24"/>
          <w:szCs w:val="24"/>
          <w:u w:val="single"/>
        </w:rPr>
        <w:t xml:space="preserve"> </w:t>
      </w:r>
      <w:r>
        <w:rPr>
          <w:rFonts w:hint="eastAsia" w:ascii="宋体" w:hAnsi="宋体"/>
          <w:b/>
          <w:sz w:val="24"/>
          <w:szCs w:val="24"/>
          <w:u w:val="single"/>
          <w:lang w:val="en-US" w:eastAsia="zh-CN"/>
        </w:rPr>
        <w:t>/</w:t>
      </w:r>
      <w:r>
        <w:rPr>
          <w:rFonts w:hint="eastAsia" w:ascii="宋体" w:hAnsi="宋体"/>
          <w:b/>
          <w:sz w:val="24"/>
          <w:szCs w:val="24"/>
          <w:u w:val="single"/>
        </w:rPr>
        <w:t xml:space="preserve"> </w:t>
      </w:r>
      <w:r>
        <w:rPr>
          <w:rFonts w:hint="eastAsia" w:ascii="宋体" w:hAnsi="宋体"/>
          <w:b/>
          <w:sz w:val="24"/>
          <w:szCs w:val="24"/>
        </w:rPr>
        <w:t>）</w:t>
      </w:r>
      <w:r>
        <w:rPr>
          <w:rFonts w:hint="eastAsia" w:ascii="宋体" w:hAnsi="宋体"/>
          <w:sz w:val="24"/>
          <w:szCs w:val="24"/>
        </w:rPr>
        <w:t>。</w:t>
      </w:r>
    </w:p>
    <w:p w14:paraId="33DF6214">
      <w:pPr>
        <w:pStyle w:val="3"/>
        <w:keepNext/>
        <w:keepLines/>
        <w:pageBreakBefore w:val="0"/>
        <w:widowControl w:val="0"/>
        <w:kinsoku/>
        <w:wordWrap/>
        <w:overflowPunct/>
        <w:topLinePunct w:val="0"/>
        <w:autoSpaceDE/>
        <w:autoSpaceDN/>
        <w:bidi w:val="0"/>
        <w:adjustRightInd/>
        <w:snapToGrid/>
        <w:spacing w:before="0" w:beforeLines="50" w:after="0" w:afterLines="50" w:line="360" w:lineRule="auto"/>
        <w:jc w:val="center"/>
        <w:textAlignment w:val="auto"/>
        <w:rPr>
          <w:rFonts w:hint="eastAsia" w:ascii="宋体" w:hAnsi="宋体" w:eastAsia="宋体"/>
          <w:sz w:val="30"/>
          <w:szCs w:val="30"/>
        </w:rPr>
      </w:pPr>
      <w:bookmarkStart w:id="98" w:name="_Toc4970"/>
      <w:bookmarkStart w:id="99" w:name="_Toc16107"/>
      <w:bookmarkStart w:id="100" w:name="_Toc30787"/>
      <w:bookmarkStart w:id="101" w:name="_Toc6918"/>
      <w:bookmarkStart w:id="102" w:name="_Toc30598"/>
      <w:bookmarkStart w:id="103" w:name="_Toc18073"/>
      <w:bookmarkStart w:id="104" w:name="_Toc31323"/>
      <w:bookmarkStart w:id="105" w:name="_Toc11264"/>
      <w:bookmarkStart w:id="106" w:name="_Toc8461"/>
      <w:bookmarkStart w:id="107" w:name="_Toc83196645"/>
      <w:bookmarkStart w:id="108" w:name="_Toc8839"/>
      <w:bookmarkStart w:id="109" w:name="_Toc8"/>
      <w:bookmarkStart w:id="110" w:name="_Toc10104"/>
      <w:bookmarkStart w:id="111" w:name="_Toc421807499"/>
      <w:bookmarkStart w:id="112" w:name="_Toc3466"/>
      <w:bookmarkStart w:id="113" w:name="_Toc20024"/>
      <w:bookmarkStart w:id="114" w:name="_Toc32735"/>
      <w:bookmarkStart w:id="115" w:name="_Toc106690287"/>
      <w:bookmarkStart w:id="116" w:name="_Toc17821"/>
      <w:bookmarkStart w:id="117" w:name="_Toc97108201"/>
      <w:r>
        <w:rPr>
          <w:rFonts w:hint="eastAsia" w:ascii="宋体" w:hAnsi="宋体" w:eastAsia="宋体"/>
          <w:sz w:val="30"/>
          <w:szCs w:val="30"/>
        </w:rPr>
        <w:t>三、投标文件的编制</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1DDE734D">
      <w:pPr>
        <w:pStyle w:val="139"/>
        <w:numPr>
          <w:ilvl w:val="0"/>
          <w:numId w:val="6"/>
        </w:numPr>
        <w:spacing w:line="360" w:lineRule="auto"/>
        <w:ind w:left="851" w:hanging="851" w:firstLineChars="0"/>
        <w:rPr>
          <w:rFonts w:ascii="宋体" w:hAnsi="宋体"/>
          <w:b/>
          <w:sz w:val="24"/>
          <w:szCs w:val="24"/>
        </w:rPr>
      </w:pPr>
      <w:r>
        <w:rPr>
          <w:rFonts w:hint="eastAsia" w:ascii="宋体" w:hAnsi="宋体"/>
          <w:b/>
          <w:sz w:val="24"/>
          <w:szCs w:val="24"/>
        </w:rPr>
        <w:t>投标文件的语言及度量衡单位</w:t>
      </w:r>
    </w:p>
    <w:p w14:paraId="13EC2A10">
      <w:pPr>
        <w:tabs>
          <w:tab w:val="left" w:pos="1050"/>
        </w:tabs>
        <w:spacing w:line="360" w:lineRule="auto"/>
        <w:ind w:left="836" w:hanging="955" w:hangingChars="398"/>
        <w:rPr>
          <w:rFonts w:ascii="宋体" w:hAnsi="宋体"/>
          <w:sz w:val="24"/>
          <w:szCs w:val="24"/>
        </w:rPr>
      </w:pPr>
      <w:r>
        <w:rPr>
          <w:rFonts w:hint="eastAsia" w:ascii="宋体" w:hAnsi="宋体"/>
          <w:sz w:val="24"/>
          <w:szCs w:val="24"/>
        </w:rPr>
        <w:t>11.1    投标人与招标人之间与投标有关的所有往来通知、函件和投标文件均采用</w:t>
      </w:r>
      <w:r>
        <w:rPr>
          <w:rFonts w:hint="eastAsia" w:ascii="宋体" w:hAnsi="宋体"/>
          <w:b/>
          <w:bCs/>
          <w:sz w:val="24"/>
          <w:szCs w:val="24"/>
        </w:rPr>
        <w:t>中文</w:t>
      </w:r>
      <w:r>
        <w:rPr>
          <w:rFonts w:hint="eastAsia" w:ascii="宋体" w:hAnsi="宋体"/>
          <w:sz w:val="24"/>
          <w:szCs w:val="24"/>
        </w:rPr>
        <w:t>。投标人随投标文件提供的证明文件和资料可以为其它语言，但必须附中文译文作为解释的依据。</w:t>
      </w:r>
    </w:p>
    <w:p w14:paraId="23EB439C">
      <w:pPr>
        <w:tabs>
          <w:tab w:val="left" w:pos="945"/>
          <w:tab w:val="left" w:pos="1050"/>
        </w:tabs>
        <w:spacing w:line="360" w:lineRule="auto"/>
        <w:ind w:left="836" w:hanging="955" w:hangingChars="398"/>
        <w:rPr>
          <w:rFonts w:ascii="宋体" w:hAnsi="宋体"/>
          <w:sz w:val="24"/>
          <w:szCs w:val="24"/>
        </w:rPr>
      </w:pPr>
      <w:r>
        <w:rPr>
          <w:rFonts w:hint="eastAsia" w:ascii="宋体" w:hAnsi="宋体"/>
          <w:sz w:val="24"/>
          <w:szCs w:val="24"/>
        </w:rPr>
        <w:t>11.2    除技术规范另有规定外，投标文件使用的度量衡单位，均采用中华人民共和国法定计量单位。</w:t>
      </w:r>
    </w:p>
    <w:p w14:paraId="45BC58C1">
      <w:pPr>
        <w:tabs>
          <w:tab w:val="left" w:pos="945"/>
          <w:tab w:val="left" w:pos="1050"/>
        </w:tabs>
        <w:spacing w:line="360" w:lineRule="auto"/>
        <w:ind w:left="836" w:hanging="955" w:hangingChars="398"/>
        <w:rPr>
          <w:rFonts w:ascii="宋体" w:hAnsi="宋体"/>
          <w:sz w:val="24"/>
          <w:szCs w:val="24"/>
        </w:rPr>
      </w:pPr>
      <w:r>
        <w:rPr>
          <w:rFonts w:hint="eastAsia" w:ascii="宋体" w:hAnsi="宋体"/>
          <w:sz w:val="24"/>
          <w:szCs w:val="24"/>
        </w:rPr>
        <w:t>11.3    拟招标工程内容采用“投标函”中的计量单位和合同条件约定计算规则的计量单位执行。</w:t>
      </w:r>
    </w:p>
    <w:p w14:paraId="4596D828">
      <w:pPr>
        <w:pStyle w:val="139"/>
        <w:numPr>
          <w:ilvl w:val="0"/>
          <w:numId w:val="6"/>
        </w:numPr>
        <w:spacing w:line="360" w:lineRule="auto"/>
        <w:ind w:left="851" w:hanging="851" w:firstLineChars="0"/>
        <w:rPr>
          <w:rFonts w:ascii="宋体" w:hAnsi="宋体"/>
          <w:sz w:val="24"/>
          <w:szCs w:val="24"/>
        </w:rPr>
      </w:pPr>
      <w:r>
        <w:rPr>
          <w:rFonts w:hint="eastAsia" w:ascii="宋体" w:hAnsi="宋体"/>
          <w:b/>
          <w:sz w:val="24"/>
          <w:szCs w:val="24"/>
        </w:rPr>
        <w:t>投标文件的组成</w:t>
      </w:r>
    </w:p>
    <w:p w14:paraId="58755EF7">
      <w:pPr>
        <w:pStyle w:val="139"/>
        <w:numPr>
          <w:ilvl w:val="0"/>
          <w:numId w:val="20"/>
        </w:numPr>
        <w:spacing w:line="360" w:lineRule="auto"/>
        <w:ind w:left="851" w:hanging="851" w:firstLineChars="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本工程的投标文件为：商务标（贰份，一正一副）。</w:t>
      </w:r>
    </w:p>
    <w:p w14:paraId="7818A7E2">
      <w:pPr>
        <w:pStyle w:val="139"/>
        <w:numPr>
          <w:ilvl w:val="0"/>
          <w:numId w:val="20"/>
        </w:numPr>
        <w:spacing w:line="360" w:lineRule="auto"/>
        <w:ind w:left="851" w:hanging="851" w:firstLineChars="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商务标包括（但不限于）：</w:t>
      </w:r>
    </w:p>
    <w:p w14:paraId="3119F68E">
      <w:pPr>
        <w:pStyle w:val="139"/>
        <w:numPr>
          <w:ilvl w:val="0"/>
          <w:numId w:val="21"/>
        </w:numPr>
        <w:spacing w:line="360" w:lineRule="auto"/>
        <w:ind w:left="420" w:leftChars="0" w:hanging="420" w:firstLineChars="0"/>
        <w:rPr>
          <w:rFonts w:ascii="宋体" w:hAnsi="宋体"/>
          <w:sz w:val="24"/>
          <w:szCs w:val="24"/>
        </w:rPr>
      </w:pPr>
      <w:r>
        <w:rPr>
          <w:rFonts w:hint="eastAsia" w:ascii="宋体" w:hAnsi="宋体"/>
          <w:sz w:val="24"/>
          <w:szCs w:val="24"/>
        </w:rPr>
        <w:t>投标函；</w:t>
      </w:r>
    </w:p>
    <w:p w14:paraId="168ADDA6">
      <w:pPr>
        <w:pStyle w:val="139"/>
        <w:numPr>
          <w:ilvl w:val="0"/>
          <w:numId w:val="21"/>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工程量清单报价表及说明（属投标函附件）；</w:t>
      </w:r>
    </w:p>
    <w:p w14:paraId="6A3677AD">
      <w:pPr>
        <w:pStyle w:val="139"/>
        <w:numPr>
          <w:ilvl w:val="0"/>
          <w:numId w:val="21"/>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法定代表人授权委托书及身份证原件和复印件；</w:t>
      </w:r>
    </w:p>
    <w:p w14:paraId="1A184460">
      <w:pPr>
        <w:pStyle w:val="139"/>
        <w:numPr>
          <w:ilvl w:val="0"/>
          <w:numId w:val="21"/>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投标人基本情况表；</w:t>
      </w:r>
    </w:p>
    <w:p w14:paraId="0B990610">
      <w:pPr>
        <w:pStyle w:val="139"/>
        <w:numPr>
          <w:ilvl w:val="0"/>
          <w:numId w:val="21"/>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lang w:val="zh-CN"/>
        </w:rPr>
        <w:t>拟派项目主要</w:t>
      </w:r>
      <w:r>
        <w:rPr>
          <w:rFonts w:hint="eastAsia" w:ascii="宋体" w:hAnsi="宋体" w:eastAsia="宋体" w:cs="Times New Roman"/>
          <w:sz w:val="24"/>
          <w:szCs w:val="24"/>
          <w:lang w:val="en-US" w:eastAsia="zh-CN"/>
        </w:rPr>
        <w:t>监理</w:t>
      </w:r>
      <w:r>
        <w:rPr>
          <w:rFonts w:hint="eastAsia" w:ascii="宋体" w:hAnsi="宋体" w:eastAsia="宋体" w:cs="Times New Roman"/>
          <w:sz w:val="24"/>
          <w:szCs w:val="24"/>
          <w:lang w:val="zh-CN"/>
        </w:rPr>
        <w:t>人员汇总表</w:t>
      </w:r>
      <w:r>
        <w:rPr>
          <w:rFonts w:hint="eastAsia" w:ascii="宋体" w:hAnsi="宋体" w:eastAsia="宋体" w:cs="Times New Roman"/>
          <w:sz w:val="24"/>
          <w:szCs w:val="24"/>
        </w:rPr>
        <w:t>；</w:t>
      </w:r>
    </w:p>
    <w:p w14:paraId="67A8781E">
      <w:pPr>
        <w:pStyle w:val="139"/>
        <w:keepNext w:val="0"/>
        <w:keepLines w:val="0"/>
        <w:pageBreakBefore w:val="0"/>
        <w:widowControl w:val="0"/>
        <w:numPr>
          <w:ilvl w:val="0"/>
          <w:numId w:val="21"/>
        </w:numPr>
        <w:kinsoku/>
        <w:wordWrap/>
        <w:overflowPunct/>
        <w:topLinePunct w:val="0"/>
        <w:autoSpaceDE/>
        <w:autoSpaceDN/>
        <w:bidi w:val="0"/>
        <w:adjustRightInd/>
        <w:snapToGrid/>
        <w:spacing w:line="360" w:lineRule="auto"/>
        <w:ind w:left="845" w:leftChars="0" w:hanging="845" w:firstLineChars="0"/>
        <w:textAlignment w:val="auto"/>
        <w:rPr>
          <w:rFonts w:hint="eastAsia" w:ascii="宋体" w:hAnsi="宋体" w:eastAsia="宋体" w:cs="Times New Roman"/>
          <w:sz w:val="24"/>
          <w:szCs w:val="24"/>
          <w:lang w:val="zh-CN"/>
        </w:rPr>
      </w:pPr>
      <w:r>
        <w:rPr>
          <w:rFonts w:hint="eastAsia" w:ascii="宋体" w:hAnsi="宋体" w:eastAsia="宋体" w:cs="Times New Roman"/>
          <w:sz w:val="24"/>
          <w:szCs w:val="24"/>
          <w:lang w:val="zh-CN"/>
        </w:rPr>
        <w:t>拟派项目</w:t>
      </w:r>
      <w:r>
        <w:rPr>
          <w:rFonts w:hint="eastAsia" w:ascii="宋体" w:hAnsi="宋体" w:eastAsia="宋体" w:cs="Times New Roman"/>
          <w:sz w:val="24"/>
          <w:szCs w:val="24"/>
          <w:lang w:val="en-US" w:eastAsia="zh-CN"/>
        </w:rPr>
        <w:t>监理</w:t>
      </w:r>
      <w:r>
        <w:rPr>
          <w:rFonts w:hint="eastAsia" w:ascii="宋体" w:hAnsi="宋体" w:eastAsia="宋体" w:cs="Times New Roman"/>
          <w:sz w:val="24"/>
          <w:szCs w:val="24"/>
          <w:lang w:val="zh-CN"/>
        </w:rPr>
        <w:t>人员简历表（附证明文件，包括资格证书、近</w:t>
      </w:r>
      <w:r>
        <w:rPr>
          <w:rFonts w:hint="eastAsia" w:ascii="宋体" w:hAnsi="宋体" w:cs="Times New Roman"/>
          <w:sz w:val="24"/>
          <w:szCs w:val="24"/>
          <w:lang w:val="en-US" w:eastAsia="zh-CN"/>
        </w:rPr>
        <w:t>两年</w:t>
      </w:r>
      <w:r>
        <w:rPr>
          <w:rFonts w:hint="eastAsia" w:ascii="宋体" w:hAnsi="宋体" w:eastAsia="宋体" w:cs="Times New Roman"/>
          <w:sz w:val="24"/>
          <w:szCs w:val="24"/>
          <w:lang w:val="zh-CN"/>
        </w:rPr>
        <w:t>养老保险缴纳证明等）；</w:t>
      </w:r>
    </w:p>
    <w:p w14:paraId="4DB235A1">
      <w:pPr>
        <w:pStyle w:val="139"/>
        <w:numPr>
          <w:ilvl w:val="0"/>
          <w:numId w:val="21"/>
        </w:numPr>
        <w:spacing w:line="360" w:lineRule="auto"/>
        <w:ind w:left="420" w:leftChars="0" w:hanging="420" w:firstLineChars="0"/>
        <w:rPr>
          <w:rFonts w:hint="eastAsia" w:ascii="宋体" w:hAnsi="宋体" w:eastAsia="宋体" w:cs="Times New Roman"/>
          <w:sz w:val="24"/>
          <w:szCs w:val="24"/>
          <w:lang w:val="zh-CN"/>
        </w:rPr>
      </w:pPr>
      <w:r>
        <w:rPr>
          <w:rFonts w:hint="eastAsia" w:ascii="宋体" w:hAnsi="宋体" w:eastAsia="宋体" w:cs="Times New Roman"/>
          <w:sz w:val="24"/>
          <w:szCs w:val="24"/>
          <w:lang w:val="zh-CN"/>
        </w:rPr>
        <w:t>投标人业绩情况表（附证明文件）；</w:t>
      </w:r>
    </w:p>
    <w:p w14:paraId="54E56D45">
      <w:pPr>
        <w:pStyle w:val="139"/>
        <w:numPr>
          <w:ilvl w:val="0"/>
          <w:numId w:val="21"/>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监理大纲；</w:t>
      </w:r>
    </w:p>
    <w:p w14:paraId="73B3451A">
      <w:pPr>
        <w:pStyle w:val="139"/>
        <w:numPr>
          <w:ilvl w:val="0"/>
          <w:numId w:val="21"/>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项目管理机构；</w:t>
      </w:r>
    </w:p>
    <w:p w14:paraId="3D918EE6">
      <w:pPr>
        <w:pStyle w:val="139"/>
        <w:numPr>
          <w:ilvl w:val="0"/>
          <w:numId w:val="21"/>
        </w:numPr>
        <w:spacing w:line="360" w:lineRule="auto"/>
        <w:ind w:left="420" w:leftChars="0" w:hanging="420" w:firstLineChars="0"/>
        <w:rPr>
          <w:rFonts w:hint="eastAsia" w:ascii="宋体" w:hAnsi="宋体" w:eastAsia="宋体" w:cs="Times New Roman"/>
          <w:sz w:val="24"/>
          <w:szCs w:val="24"/>
        </w:rPr>
      </w:pPr>
      <w:r>
        <w:rPr>
          <w:rFonts w:hint="eastAsia" w:ascii="宋体" w:hAnsi="宋体" w:eastAsia="宋体" w:cs="Times New Roman"/>
          <w:sz w:val="24"/>
          <w:szCs w:val="24"/>
        </w:rPr>
        <w:t>招标文件要求或投标人认为需提交的其他资料。</w:t>
      </w:r>
    </w:p>
    <w:p w14:paraId="6352E74A">
      <w:pPr>
        <w:pStyle w:val="139"/>
        <w:numPr>
          <w:ilvl w:val="0"/>
          <w:numId w:val="20"/>
        </w:numPr>
        <w:tabs>
          <w:tab w:val="left" w:pos="851"/>
        </w:tabs>
        <w:spacing w:line="360" w:lineRule="auto"/>
        <w:ind w:left="851" w:hanging="851" w:firstLineChars="0"/>
        <w:rPr>
          <w:rFonts w:hint="eastAsia" w:ascii="宋体" w:hAnsi="宋体" w:eastAsia="宋体" w:cs="Times New Roman"/>
          <w:b/>
          <w:bCs/>
          <w:sz w:val="24"/>
          <w:szCs w:val="24"/>
          <w:highlight w:val="none"/>
        </w:rPr>
      </w:pPr>
      <w:r>
        <w:rPr>
          <w:rFonts w:hint="eastAsia" w:ascii="宋体" w:hAnsi="宋体" w:eastAsia="宋体" w:cs="Times New Roman"/>
          <w:sz w:val="24"/>
          <w:szCs w:val="24"/>
          <w:highlight w:val="none"/>
        </w:rPr>
        <w:t>上述所有投标文件的电子版本（刻于可读取、可复制的</w:t>
      </w:r>
      <w:r>
        <w:rPr>
          <w:rFonts w:hint="eastAsia" w:ascii="宋体" w:hAnsi="宋体" w:eastAsia="宋体" w:cs="Times New Roman"/>
          <w:b/>
          <w:bCs/>
          <w:sz w:val="24"/>
          <w:szCs w:val="24"/>
          <w:highlight w:val="none"/>
        </w:rPr>
        <w:t>电子光盘或U盘中</w:t>
      </w:r>
      <w:r>
        <w:rPr>
          <w:rFonts w:hint="eastAsia" w:ascii="宋体" w:hAnsi="宋体" w:eastAsia="宋体" w:cs="Times New Roman"/>
          <w:sz w:val="24"/>
          <w:szCs w:val="24"/>
          <w:highlight w:val="none"/>
        </w:rPr>
        <w:t>）。</w:t>
      </w:r>
      <w:r>
        <w:rPr>
          <w:rFonts w:hint="eastAsia" w:ascii="宋体" w:hAnsi="宋体" w:eastAsia="宋体" w:cs="Times New Roman"/>
          <w:b/>
          <w:bCs/>
          <w:sz w:val="24"/>
          <w:szCs w:val="24"/>
          <w:highlight w:val="none"/>
        </w:rPr>
        <w:t>特别说明：商务标电子版本应包括所有报价的预算文件及汇总、说明(使用OFFICE2007以下版本软件），不接受专业造价软件格式的文件。</w:t>
      </w:r>
    </w:p>
    <w:p w14:paraId="505CA470">
      <w:pPr>
        <w:pStyle w:val="139"/>
        <w:numPr>
          <w:ilvl w:val="0"/>
          <w:numId w:val="20"/>
        </w:numPr>
        <w:spacing w:line="360" w:lineRule="auto"/>
        <w:ind w:left="851" w:hanging="851" w:firstLineChars="0"/>
        <w:rPr>
          <w:rFonts w:ascii="宋体" w:hAnsi="宋体"/>
          <w:sz w:val="24"/>
          <w:szCs w:val="24"/>
          <w:highlight w:val="none"/>
        </w:rPr>
      </w:pPr>
      <w:r>
        <w:rPr>
          <w:rFonts w:ascii="宋体" w:hAnsi="宋体"/>
          <w:sz w:val="24"/>
          <w:szCs w:val="24"/>
          <w:highlight w:val="none"/>
        </w:rPr>
        <w:t>投标人准备的投标文件必须使用本招标文件所提供的投标文件格式及相关文件格式（如属表格，可以按同样格式扩展）。</w:t>
      </w:r>
    </w:p>
    <w:p w14:paraId="5A85B515">
      <w:pPr>
        <w:pStyle w:val="139"/>
        <w:numPr>
          <w:ilvl w:val="0"/>
          <w:numId w:val="20"/>
        </w:numPr>
        <w:spacing w:line="360" w:lineRule="auto"/>
        <w:ind w:left="851" w:hanging="851" w:firstLineChars="0"/>
        <w:rPr>
          <w:rFonts w:ascii="宋体" w:hAnsi="宋体"/>
          <w:sz w:val="24"/>
          <w:szCs w:val="24"/>
          <w:highlight w:val="none"/>
        </w:rPr>
      </w:pPr>
      <w:r>
        <w:rPr>
          <w:rFonts w:ascii="宋体" w:hAnsi="宋体"/>
          <w:sz w:val="24"/>
          <w:szCs w:val="24"/>
          <w:highlight w:val="none"/>
        </w:rPr>
        <w:t>投标文件均应打印或使用不褪色的墨水书写。</w:t>
      </w:r>
      <w:r>
        <w:rPr>
          <w:rFonts w:hint="eastAsia" w:ascii="宋体" w:hAnsi="宋体"/>
          <w:sz w:val="24"/>
          <w:szCs w:val="24"/>
          <w:highlight w:val="none"/>
        </w:rPr>
        <w:t>投标文件的正本和副本均需打印，字迹应清晰易于辨认，并应在投标文件封面的右上角清楚地注明“正本”或“副本”字样。正本和副本如有不一致之处，以正本为准。</w:t>
      </w:r>
    </w:p>
    <w:p w14:paraId="63A78702">
      <w:pPr>
        <w:pStyle w:val="139"/>
        <w:numPr>
          <w:ilvl w:val="0"/>
          <w:numId w:val="20"/>
        </w:numPr>
        <w:spacing w:line="360" w:lineRule="auto"/>
        <w:ind w:left="851" w:hanging="851" w:firstLineChars="0"/>
        <w:rPr>
          <w:rFonts w:ascii="宋体" w:hAnsi="宋体"/>
          <w:sz w:val="24"/>
          <w:szCs w:val="24"/>
          <w:highlight w:val="none"/>
        </w:rPr>
      </w:pPr>
      <w:r>
        <w:rPr>
          <w:rFonts w:ascii="宋体" w:hAnsi="宋体"/>
          <w:sz w:val="24"/>
          <w:szCs w:val="24"/>
          <w:highlight w:val="none"/>
        </w:rPr>
        <w:t>投标人已经确认其提交的投标书</w:t>
      </w:r>
      <w:r>
        <w:rPr>
          <w:rFonts w:hint="eastAsia" w:ascii="宋体" w:hAnsi="宋体"/>
          <w:sz w:val="24"/>
          <w:szCs w:val="24"/>
          <w:highlight w:val="none"/>
        </w:rPr>
        <w:t>和</w:t>
      </w:r>
      <w:r>
        <w:rPr>
          <w:rFonts w:ascii="宋体" w:hAnsi="宋体"/>
          <w:sz w:val="24"/>
          <w:szCs w:val="24"/>
          <w:highlight w:val="none"/>
        </w:rPr>
        <w:t>价格的正确性和充分性。除非合同中另有约定，投标人提交的投标书</w:t>
      </w:r>
      <w:r>
        <w:rPr>
          <w:rFonts w:hint="eastAsia" w:ascii="宋体" w:hAnsi="宋体"/>
          <w:sz w:val="24"/>
          <w:szCs w:val="24"/>
          <w:highlight w:val="none"/>
        </w:rPr>
        <w:t>和</w:t>
      </w:r>
      <w:r>
        <w:rPr>
          <w:rFonts w:ascii="宋体" w:hAnsi="宋体"/>
          <w:sz w:val="24"/>
          <w:szCs w:val="24"/>
          <w:highlight w:val="none"/>
        </w:rPr>
        <w:t>价格已经全面、充分地体现和覆盖了：</w:t>
      </w:r>
    </w:p>
    <w:p w14:paraId="13DB3C23">
      <w:pPr>
        <w:pStyle w:val="139"/>
        <w:keepNext w:val="0"/>
        <w:keepLines w:val="0"/>
        <w:pageBreakBefore w:val="0"/>
        <w:widowControl w:val="0"/>
        <w:numPr>
          <w:ilvl w:val="0"/>
          <w:numId w:val="22"/>
        </w:numPr>
        <w:kinsoku/>
        <w:wordWrap/>
        <w:overflowPunct/>
        <w:topLinePunct w:val="0"/>
        <w:autoSpaceDE/>
        <w:autoSpaceDN/>
        <w:bidi w:val="0"/>
        <w:adjustRightInd/>
        <w:snapToGrid/>
        <w:spacing w:line="360" w:lineRule="auto"/>
        <w:ind w:left="420" w:leftChars="0" w:right="0" w:rightChars="0" w:hanging="420" w:firstLineChars="0"/>
        <w:jc w:val="both"/>
        <w:textAlignment w:val="auto"/>
        <w:outlineLvl w:val="9"/>
        <w:rPr>
          <w:rFonts w:ascii="宋体" w:hAnsi="宋体"/>
          <w:sz w:val="24"/>
          <w:szCs w:val="24"/>
          <w:highlight w:val="none"/>
        </w:rPr>
      </w:pPr>
      <w:r>
        <w:rPr>
          <w:rFonts w:ascii="宋体" w:hAnsi="宋体"/>
          <w:sz w:val="24"/>
          <w:szCs w:val="24"/>
          <w:highlight w:val="none"/>
        </w:rPr>
        <w:t>投标人根据合同应承担的全部义务；</w:t>
      </w:r>
    </w:p>
    <w:p w14:paraId="4564479E">
      <w:pPr>
        <w:pStyle w:val="139"/>
        <w:keepNext w:val="0"/>
        <w:keepLines w:val="0"/>
        <w:pageBreakBefore w:val="0"/>
        <w:widowControl w:val="0"/>
        <w:numPr>
          <w:ilvl w:val="0"/>
          <w:numId w:val="22"/>
        </w:numPr>
        <w:kinsoku/>
        <w:wordWrap/>
        <w:overflowPunct/>
        <w:topLinePunct w:val="0"/>
        <w:autoSpaceDE/>
        <w:autoSpaceDN/>
        <w:bidi w:val="0"/>
        <w:adjustRightInd/>
        <w:snapToGrid/>
        <w:spacing w:line="360" w:lineRule="auto"/>
        <w:ind w:left="420" w:leftChars="0" w:right="0" w:rightChars="0" w:hanging="420" w:firstLineChars="0"/>
        <w:jc w:val="both"/>
        <w:textAlignment w:val="auto"/>
        <w:outlineLvl w:val="9"/>
        <w:rPr>
          <w:rFonts w:ascii="宋体" w:hAnsi="宋体" w:eastAsia="宋体" w:cs="Times New Roman"/>
          <w:sz w:val="24"/>
          <w:szCs w:val="24"/>
          <w:highlight w:val="none"/>
        </w:rPr>
      </w:pPr>
      <w:r>
        <w:rPr>
          <w:rFonts w:ascii="宋体" w:hAnsi="宋体" w:eastAsia="宋体" w:cs="Times New Roman"/>
          <w:sz w:val="24"/>
          <w:szCs w:val="24"/>
          <w:highlight w:val="none"/>
        </w:rPr>
        <w:t>为该工程所必须发生的一切费用；</w:t>
      </w:r>
    </w:p>
    <w:p w14:paraId="712EA26F">
      <w:pPr>
        <w:pStyle w:val="139"/>
        <w:keepNext w:val="0"/>
        <w:keepLines w:val="0"/>
        <w:pageBreakBefore w:val="0"/>
        <w:widowControl w:val="0"/>
        <w:numPr>
          <w:ilvl w:val="0"/>
          <w:numId w:val="22"/>
        </w:numPr>
        <w:kinsoku/>
        <w:wordWrap/>
        <w:overflowPunct/>
        <w:topLinePunct w:val="0"/>
        <w:autoSpaceDE/>
        <w:autoSpaceDN/>
        <w:bidi w:val="0"/>
        <w:adjustRightInd/>
        <w:snapToGrid/>
        <w:spacing w:line="360" w:lineRule="auto"/>
        <w:ind w:left="420" w:leftChars="0" w:right="0" w:rightChars="0" w:hanging="420" w:firstLineChars="0"/>
        <w:jc w:val="both"/>
        <w:textAlignment w:val="auto"/>
        <w:outlineLvl w:val="9"/>
        <w:rPr>
          <w:rFonts w:ascii="宋体" w:hAnsi="宋体" w:eastAsia="宋体" w:cs="Times New Roman"/>
          <w:sz w:val="24"/>
          <w:szCs w:val="24"/>
          <w:highlight w:val="none"/>
        </w:rPr>
      </w:pPr>
      <w:r>
        <w:rPr>
          <w:rFonts w:ascii="宋体" w:hAnsi="宋体" w:eastAsia="宋体" w:cs="Times New Roman"/>
          <w:sz w:val="24"/>
          <w:szCs w:val="24"/>
          <w:highlight w:val="none"/>
        </w:rPr>
        <w:t>为完成全部合同工作内容而必须发生的任何费用；</w:t>
      </w:r>
    </w:p>
    <w:p w14:paraId="6CE462D7">
      <w:pPr>
        <w:pStyle w:val="139"/>
        <w:keepNext w:val="0"/>
        <w:keepLines w:val="0"/>
        <w:pageBreakBefore w:val="0"/>
        <w:widowControl w:val="0"/>
        <w:numPr>
          <w:ilvl w:val="0"/>
          <w:numId w:val="22"/>
        </w:numPr>
        <w:kinsoku/>
        <w:wordWrap/>
        <w:overflowPunct/>
        <w:topLinePunct w:val="0"/>
        <w:autoSpaceDE/>
        <w:autoSpaceDN/>
        <w:bidi w:val="0"/>
        <w:adjustRightInd/>
        <w:snapToGrid/>
        <w:spacing w:line="360" w:lineRule="auto"/>
        <w:ind w:left="856" w:leftChars="0" w:right="0" w:rightChars="0" w:hanging="856" w:firstLineChars="0"/>
        <w:jc w:val="both"/>
        <w:textAlignment w:val="auto"/>
        <w:outlineLvl w:val="9"/>
        <w:rPr>
          <w:rFonts w:ascii="宋体" w:hAnsi="宋体" w:eastAsia="宋体" w:cs="Times New Roman"/>
          <w:sz w:val="24"/>
          <w:szCs w:val="24"/>
          <w:highlight w:val="none"/>
        </w:rPr>
      </w:pPr>
      <w:r>
        <w:rPr>
          <w:rFonts w:ascii="宋体" w:hAnsi="宋体" w:eastAsia="宋体" w:cs="Times New Roman"/>
          <w:sz w:val="24"/>
          <w:szCs w:val="24"/>
          <w:highlight w:val="none"/>
        </w:rPr>
        <w:t>作为一个有足够经验的</w:t>
      </w:r>
      <w:r>
        <w:rPr>
          <w:rFonts w:hint="eastAsia" w:ascii="宋体" w:hAnsi="宋体" w:cs="Times New Roman"/>
          <w:sz w:val="24"/>
          <w:szCs w:val="24"/>
          <w:highlight w:val="none"/>
          <w:lang w:val="en-US" w:eastAsia="zh-CN"/>
        </w:rPr>
        <w:t>监理</w:t>
      </w:r>
      <w:r>
        <w:rPr>
          <w:rFonts w:hint="eastAsia" w:ascii="宋体" w:hAnsi="宋体" w:eastAsia="宋体" w:cs="Times New Roman"/>
          <w:sz w:val="24"/>
          <w:szCs w:val="24"/>
          <w:highlight w:val="none"/>
        </w:rPr>
        <w:t>人</w:t>
      </w:r>
      <w:r>
        <w:rPr>
          <w:rFonts w:ascii="宋体" w:hAnsi="宋体" w:eastAsia="宋体" w:cs="Times New Roman"/>
          <w:sz w:val="24"/>
          <w:szCs w:val="24"/>
          <w:highlight w:val="none"/>
        </w:rPr>
        <w:t>可以合理预见的任何紧急情况的处理费用以及日后过程中</w:t>
      </w:r>
      <w:r>
        <w:rPr>
          <w:rFonts w:hint="eastAsia" w:ascii="宋体" w:hAnsi="宋体" w:eastAsia="宋体" w:cs="Times New Roman"/>
          <w:sz w:val="24"/>
          <w:szCs w:val="24"/>
          <w:highlight w:val="none"/>
        </w:rPr>
        <w:t>相关</w:t>
      </w:r>
      <w:r>
        <w:rPr>
          <w:rFonts w:ascii="宋体" w:hAnsi="宋体" w:eastAsia="宋体" w:cs="Times New Roman"/>
          <w:sz w:val="24"/>
          <w:szCs w:val="24"/>
          <w:highlight w:val="none"/>
        </w:rPr>
        <w:t>成本的任何涨价风险（合同另有约定除外）。</w:t>
      </w:r>
    </w:p>
    <w:p w14:paraId="1A382472">
      <w:pPr>
        <w:pStyle w:val="139"/>
        <w:numPr>
          <w:ilvl w:val="0"/>
          <w:numId w:val="6"/>
        </w:numPr>
        <w:spacing w:line="360" w:lineRule="auto"/>
        <w:ind w:left="851" w:hanging="851" w:firstLineChars="0"/>
        <w:rPr>
          <w:rFonts w:hint="eastAsia" w:ascii="宋体" w:hAnsi="宋体"/>
          <w:b/>
          <w:sz w:val="24"/>
          <w:szCs w:val="24"/>
          <w:highlight w:val="none"/>
        </w:rPr>
      </w:pPr>
      <w:r>
        <w:rPr>
          <w:rFonts w:hint="eastAsia" w:ascii="宋体" w:hAnsi="宋体"/>
          <w:b/>
          <w:sz w:val="24"/>
          <w:szCs w:val="24"/>
          <w:highlight w:val="none"/>
        </w:rPr>
        <w:t>工程计价</w:t>
      </w:r>
    </w:p>
    <w:p w14:paraId="6D885447">
      <w:pPr>
        <w:pStyle w:val="139"/>
        <w:numPr>
          <w:ilvl w:val="0"/>
          <w:numId w:val="23"/>
        </w:numPr>
        <w:spacing w:line="360" w:lineRule="auto"/>
        <w:ind w:left="851" w:hanging="851" w:firstLineChars="0"/>
        <w:rPr>
          <w:rFonts w:hint="eastAsia" w:ascii="宋体" w:hAnsi="宋体"/>
          <w:b w:val="0"/>
          <w:bCs/>
          <w:sz w:val="24"/>
          <w:szCs w:val="24"/>
          <w:highlight w:val="none"/>
        </w:rPr>
      </w:pPr>
      <w:r>
        <w:rPr>
          <w:rFonts w:hint="eastAsia" w:ascii="宋体" w:hAnsi="宋体"/>
          <w:b w:val="0"/>
          <w:bCs/>
          <w:sz w:val="24"/>
          <w:szCs w:val="24"/>
          <w:highlight w:val="none"/>
        </w:rPr>
        <w:t>计价形式：</w:t>
      </w:r>
      <w:r>
        <w:rPr>
          <w:rFonts w:hint="eastAsia" w:ascii="宋体" w:hAnsi="宋体"/>
          <w:b/>
          <w:bCs/>
          <w:color w:val="000000" w:themeColor="text1"/>
          <w:sz w:val="24"/>
          <w:szCs w:val="24"/>
          <w:highlight w:val="none"/>
          <w14:textFill>
            <w14:solidFill>
              <w14:schemeClr w14:val="tx1"/>
            </w14:solidFill>
          </w14:textFill>
        </w:rPr>
        <w:t>综合单价包干形式</w:t>
      </w:r>
      <w:r>
        <w:rPr>
          <w:rFonts w:hint="eastAsia" w:ascii="宋体" w:hAnsi="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color w:val="000000" w:themeColor="text1"/>
          <w:sz w:val="24"/>
          <w:szCs w:val="24"/>
          <w:highlight w:val="none"/>
          <w14:textFill>
            <w14:solidFill>
              <w14:schemeClr w14:val="tx1"/>
            </w14:solidFill>
          </w14:textFill>
        </w:rPr>
        <w:t>按建筑规划许可证面积结算</w:t>
      </w:r>
      <w:r>
        <w:rPr>
          <w:rFonts w:hint="eastAsia" w:ascii="宋体" w:hAnsi="宋体"/>
          <w:b w:val="0"/>
          <w:bCs/>
          <w:sz w:val="24"/>
          <w:szCs w:val="24"/>
          <w:highlight w:val="none"/>
          <w:lang w:val="en-US" w:eastAsia="zh-CN"/>
        </w:rPr>
        <w:t>。</w:t>
      </w:r>
    </w:p>
    <w:p w14:paraId="5FABF556">
      <w:pPr>
        <w:pStyle w:val="139"/>
        <w:numPr>
          <w:ilvl w:val="0"/>
          <w:numId w:val="23"/>
        </w:numPr>
        <w:spacing w:line="360" w:lineRule="auto"/>
        <w:ind w:left="851" w:hanging="851" w:firstLineChars="0"/>
        <w:rPr>
          <w:rFonts w:ascii="宋体" w:hAnsi="宋体"/>
          <w:b w:val="0"/>
          <w:bCs/>
          <w:sz w:val="24"/>
          <w:szCs w:val="24"/>
          <w:highlight w:val="none"/>
        </w:rPr>
      </w:pPr>
      <w:r>
        <w:rPr>
          <w:rFonts w:hint="eastAsia" w:ascii="宋体" w:hAnsi="宋体"/>
          <w:b w:val="0"/>
          <w:bCs/>
          <w:sz w:val="24"/>
          <w:szCs w:val="24"/>
          <w:highlight w:val="none"/>
        </w:rPr>
        <w:t>报价原则：</w:t>
      </w:r>
    </w:p>
    <w:p w14:paraId="4759F3F8">
      <w:pPr>
        <w:pStyle w:val="139"/>
        <w:keepNext w:val="0"/>
        <w:keepLines w:val="0"/>
        <w:pageBreakBefore w:val="0"/>
        <w:widowControl w:val="0"/>
        <w:numPr>
          <w:ilvl w:val="0"/>
          <w:numId w:val="24"/>
        </w:numPr>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ascii="宋体" w:hAnsi="宋体"/>
          <w:sz w:val="24"/>
          <w:szCs w:val="24"/>
          <w:highlight w:val="none"/>
        </w:rPr>
      </w:pPr>
      <w:r>
        <w:rPr>
          <w:rFonts w:hint="eastAsia" w:ascii="宋体" w:hAnsi="宋体"/>
          <w:sz w:val="24"/>
          <w:szCs w:val="24"/>
          <w:highlight w:val="none"/>
        </w:rPr>
        <w:t>投标报价由投标人依据本招标文件（含</w:t>
      </w:r>
      <w:r>
        <w:rPr>
          <w:rFonts w:hint="eastAsia" w:ascii="宋体" w:hAnsi="宋体"/>
          <w:sz w:val="24"/>
          <w:szCs w:val="24"/>
          <w:highlight w:val="none"/>
          <w:lang w:val="en-US" w:eastAsia="zh-CN"/>
        </w:rPr>
        <w:t>监理</w:t>
      </w:r>
      <w:r>
        <w:rPr>
          <w:rFonts w:hint="eastAsia" w:ascii="宋体" w:hAnsi="宋体"/>
          <w:sz w:val="24"/>
          <w:szCs w:val="24"/>
          <w:highlight w:val="none"/>
        </w:rPr>
        <w:t>合同）及招标人提供的</w:t>
      </w:r>
      <w:r>
        <w:rPr>
          <w:rFonts w:hint="eastAsia" w:ascii="宋体" w:hAnsi="宋体"/>
          <w:sz w:val="24"/>
          <w:szCs w:val="24"/>
          <w:highlight w:val="none"/>
          <w:lang w:val="en-US" w:eastAsia="zh-CN"/>
        </w:rPr>
        <w:t>图纸</w:t>
      </w:r>
      <w:r>
        <w:rPr>
          <w:rFonts w:hint="eastAsia" w:ascii="宋体" w:hAnsi="宋体"/>
          <w:sz w:val="24"/>
          <w:szCs w:val="24"/>
          <w:highlight w:val="none"/>
        </w:rPr>
        <w:t>和报价表，按风险自担的原则，自主报价，将完成其承担的工作内容应发生的各项费用和各种风险费用等全部计入投标报价中。</w:t>
      </w:r>
    </w:p>
    <w:p w14:paraId="7204912C">
      <w:pPr>
        <w:pStyle w:val="139"/>
        <w:keepNext w:val="0"/>
        <w:keepLines w:val="0"/>
        <w:pageBreakBefore w:val="0"/>
        <w:widowControl w:val="0"/>
        <w:numPr>
          <w:ilvl w:val="0"/>
          <w:numId w:val="24"/>
        </w:numPr>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ascii="宋体" w:hAnsi="宋体"/>
          <w:sz w:val="24"/>
          <w:szCs w:val="24"/>
        </w:rPr>
      </w:pPr>
      <w:r>
        <w:rPr>
          <w:rFonts w:hint="eastAsia" w:ascii="宋体" w:hAnsi="宋体"/>
          <w:b/>
          <w:bCs/>
          <w:sz w:val="24"/>
          <w:szCs w:val="24"/>
          <w:highlight w:val="none"/>
        </w:rPr>
        <w:t>“投标报价”</w:t>
      </w:r>
      <w:r>
        <w:rPr>
          <w:rFonts w:hint="eastAsia" w:ascii="宋体" w:hAnsi="宋体"/>
          <w:sz w:val="24"/>
          <w:szCs w:val="24"/>
          <w:highlight w:val="none"/>
        </w:rPr>
        <w:t>既包括按文件规定所应计算的各项费用，又要包括各项投标时难以准确估计而必须发生的费用，以及工程设计实际情况及特点、市场风险、不可预见的风险等足以影响工程成本价格的各项因素所发生的各项费用。</w:t>
      </w:r>
      <w:r>
        <w:rPr>
          <w:rFonts w:hint="eastAsia" w:ascii="宋体" w:hAnsi="宋体"/>
          <w:sz w:val="24"/>
          <w:szCs w:val="24"/>
          <w:highlight w:val="none"/>
          <w:lang w:val="en-US" w:eastAsia="zh-CN"/>
        </w:rPr>
        <w:t>服务周期</w:t>
      </w:r>
      <w:r>
        <w:rPr>
          <w:rFonts w:hint="eastAsia" w:ascii="宋体" w:hAnsi="宋体"/>
          <w:sz w:val="24"/>
          <w:szCs w:val="24"/>
        </w:rPr>
        <w:t>、质量要求等编制“投标报价”，不得偏离和低于市场成本价，更不得以自身不能承受的价格进行竞争，否则，由此产生的一切经济损失和责任均由投标人自行承担。</w:t>
      </w:r>
    </w:p>
    <w:p w14:paraId="4FF497B9">
      <w:pPr>
        <w:pStyle w:val="139"/>
        <w:numPr>
          <w:ilvl w:val="0"/>
          <w:numId w:val="23"/>
        </w:numPr>
        <w:spacing w:line="360" w:lineRule="auto"/>
        <w:ind w:left="851" w:hanging="851" w:firstLineChars="0"/>
        <w:rPr>
          <w:rFonts w:ascii="宋体" w:hAnsi="宋体"/>
          <w:b/>
          <w:bCs/>
          <w:sz w:val="24"/>
          <w:szCs w:val="24"/>
        </w:rPr>
      </w:pPr>
      <w:r>
        <w:rPr>
          <w:rFonts w:hint="eastAsia" w:ascii="宋体" w:hAnsi="宋体" w:eastAsia="宋体" w:cs="Times New Roman"/>
          <w:b/>
          <w:bCs/>
          <w:sz w:val="24"/>
          <w:szCs w:val="24"/>
        </w:rPr>
        <w:t>报价范围：投标报价的项目内容按招标文件相关要求执行。</w:t>
      </w:r>
    </w:p>
    <w:p w14:paraId="65F2B6CD">
      <w:pPr>
        <w:pStyle w:val="139"/>
        <w:numPr>
          <w:ilvl w:val="0"/>
          <w:numId w:val="6"/>
        </w:numPr>
        <w:spacing w:line="360" w:lineRule="auto"/>
        <w:ind w:left="851" w:hanging="851" w:firstLineChars="0"/>
        <w:rPr>
          <w:rFonts w:hint="eastAsia" w:ascii="宋体" w:hAnsi="宋体"/>
          <w:b/>
          <w:sz w:val="24"/>
          <w:szCs w:val="24"/>
          <w:highlight w:val="none"/>
        </w:rPr>
      </w:pPr>
      <w:r>
        <w:rPr>
          <w:rFonts w:hint="eastAsia" w:ascii="宋体" w:hAnsi="宋体"/>
          <w:b/>
          <w:sz w:val="24"/>
          <w:szCs w:val="24"/>
          <w:highlight w:val="none"/>
        </w:rPr>
        <w:t xml:space="preserve"> 投标报价说明</w:t>
      </w:r>
    </w:p>
    <w:p w14:paraId="05C5920E">
      <w:pPr>
        <w:pageBreakBefore w:val="0"/>
        <w:kinsoku/>
        <w:wordWrap/>
        <w:overflowPunct/>
        <w:topLinePunct w:val="0"/>
        <w:bidi w:val="0"/>
        <w:snapToGrid w:val="0"/>
        <w:spacing w:line="360" w:lineRule="auto"/>
        <w:ind w:left="839" w:hanging="959" w:hangingChars="398"/>
        <w:textAlignment w:val="auto"/>
        <w:rPr>
          <w:rFonts w:hint="eastAsia" w:ascii="宋体" w:hAnsi="宋体" w:eastAsia="宋体" w:cs="宋体"/>
          <w:sz w:val="24"/>
          <w:szCs w:val="24"/>
          <w:highlight w:val="none"/>
        </w:rPr>
      </w:pPr>
      <w:r>
        <w:rPr>
          <w:rFonts w:hint="eastAsia" w:ascii="宋体" w:hAnsi="宋体"/>
          <w:b/>
          <w:sz w:val="24"/>
          <w:szCs w:val="24"/>
          <w:highlight w:val="none"/>
        </w:rPr>
        <w:t>1</w:t>
      </w:r>
      <w:r>
        <w:rPr>
          <w:rFonts w:hint="eastAsia" w:ascii="宋体" w:hAnsi="宋体"/>
          <w:b/>
          <w:sz w:val="24"/>
          <w:szCs w:val="24"/>
          <w:highlight w:val="none"/>
          <w:lang w:val="en-US" w:eastAsia="zh-CN"/>
        </w:rPr>
        <w:t>4</w:t>
      </w:r>
      <w:r>
        <w:rPr>
          <w:rFonts w:hint="eastAsia" w:ascii="宋体" w:hAnsi="宋体"/>
          <w:b/>
          <w:sz w:val="24"/>
          <w:szCs w:val="24"/>
          <w:highlight w:val="none"/>
        </w:rPr>
        <w:t>.1</w:t>
      </w:r>
      <w:r>
        <w:rPr>
          <w:rFonts w:hint="eastAsia" w:ascii="宋体" w:hAnsi="宋体"/>
          <w:sz w:val="24"/>
          <w:szCs w:val="24"/>
          <w:highlight w:val="none"/>
        </w:rPr>
        <w:t xml:space="preserve">   </w:t>
      </w:r>
      <w:r>
        <w:rPr>
          <w:rFonts w:hint="eastAsia" w:ascii="宋体" w:hAnsi="宋体"/>
          <w:b/>
          <w:sz w:val="24"/>
          <w:szCs w:val="24"/>
          <w:highlight w:val="none"/>
        </w:rPr>
        <w:t xml:space="preserve"> </w:t>
      </w:r>
      <w:r>
        <w:rPr>
          <w:rFonts w:hint="eastAsia" w:ascii="宋体" w:hAnsi="宋体" w:eastAsia="宋体" w:cs="宋体"/>
          <w:b/>
          <w:sz w:val="24"/>
          <w:szCs w:val="24"/>
          <w:highlight w:val="none"/>
        </w:rPr>
        <w:t>投标货币：</w:t>
      </w:r>
      <w:r>
        <w:rPr>
          <w:rFonts w:hint="eastAsia" w:ascii="宋体" w:hAnsi="宋体" w:eastAsia="宋体" w:cs="宋体"/>
          <w:sz w:val="24"/>
          <w:szCs w:val="24"/>
          <w:highlight w:val="none"/>
        </w:rPr>
        <w:t>本项目的投标均以“人民币”报价。</w:t>
      </w:r>
    </w:p>
    <w:p w14:paraId="5019CD9A">
      <w:pPr>
        <w:pageBreakBefore w:val="0"/>
        <w:kinsoku/>
        <w:wordWrap/>
        <w:overflowPunct/>
        <w:topLinePunct w:val="0"/>
        <w:bidi w:val="0"/>
        <w:snapToGrid w:val="0"/>
        <w:spacing w:line="360" w:lineRule="auto"/>
        <w:ind w:left="839" w:hanging="959" w:hangingChars="398"/>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sz w:val="24"/>
          <w:szCs w:val="24"/>
          <w:highlight w:val="none"/>
          <w:lang w:val="en-US" w:eastAsia="zh-CN"/>
        </w:rPr>
        <w:t>4</w:t>
      </w:r>
      <w:r>
        <w:rPr>
          <w:rFonts w:hint="eastAsia" w:ascii="宋体" w:hAnsi="宋体" w:eastAsia="宋体" w:cs="宋体"/>
          <w:b/>
          <w:sz w:val="24"/>
          <w:szCs w:val="24"/>
          <w:highlight w:val="none"/>
        </w:rPr>
        <w:t>.2    投标报价特别说明</w:t>
      </w:r>
    </w:p>
    <w:p w14:paraId="7F296D52">
      <w:pPr>
        <w:pageBreakBefore w:val="0"/>
        <w:kinsoku/>
        <w:wordWrap/>
        <w:overflowPunct/>
        <w:topLinePunct w:val="0"/>
        <w:bidi w:val="0"/>
        <w:snapToGrid w:val="0"/>
        <w:spacing w:line="360" w:lineRule="auto"/>
        <w:ind w:left="836" w:hanging="955" w:hangingChars="398"/>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.2.1  投标人按</w:t>
      </w:r>
      <w:r>
        <w:rPr>
          <w:rFonts w:hint="eastAsia" w:ascii="宋体" w:hAnsi="宋体" w:eastAsia="宋体" w:cs="宋体"/>
          <w:b/>
          <w:sz w:val="24"/>
          <w:szCs w:val="24"/>
          <w:highlight w:val="none"/>
        </w:rPr>
        <w:t>固定综合单价（按建筑面积）</w:t>
      </w:r>
      <w:r>
        <w:rPr>
          <w:rFonts w:hint="eastAsia" w:ascii="宋体" w:hAnsi="宋体" w:eastAsia="宋体" w:cs="宋体"/>
          <w:sz w:val="24"/>
          <w:szCs w:val="24"/>
          <w:highlight w:val="none"/>
        </w:rPr>
        <w:t>报价，并在约定的范围内不作任何调整，不因招标人调整建筑方案或施工顺序等而调整，</w:t>
      </w:r>
      <w:r>
        <w:rPr>
          <w:rFonts w:hint="eastAsia" w:ascii="宋体" w:hAnsi="宋体" w:eastAsia="宋体" w:cs="宋体"/>
          <w:bCs/>
          <w:sz w:val="24"/>
          <w:szCs w:val="24"/>
          <w:highlight w:val="none"/>
        </w:rPr>
        <w:t>投标人有任何编制不完全的价</w:t>
      </w:r>
      <w:r>
        <w:rPr>
          <w:rFonts w:hint="eastAsia" w:ascii="宋体" w:hAnsi="宋体" w:eastAsia="宋体" w:cs="宋体"/>
          <w:bCs/>
          <w:color w:val="000000" w:themeColor="text1"/>
          <w:sz w:val="24"/>
          <w:szCs w:val="24"/>
          <w:highlight w:val="none"/>
          <w14:textFill>
            <w14:solidFill>
              <w14:schemeClr w14:val="tx1"/>
            </w14:solidFill>
          </w14:textFill>
        </w:rPr>
        <w:t>格参与了投标竞争，均由投标人自行承担由此产生的一切经济损失和责任。</w:t>
      </w:r>
    </w:p>
    <w:p w14:paraId="73194DD0">
      <w:pPr>
        <w:pageBreakBefore w:val="0"/>
        <w:kinsoku/>
        <w:wordWrap/>
        <w:overflowPunct/>
        <w:topLinePunct w:val="0"/>
        <w:bidi w:val="0"/>
        <w:snapToGrid w:val="0"/>
        <w:spacing w:line="360" w:lineRule="auto"/>
        <w:ind w:left="836" w:hanging="955" w:hangingChars="398"/>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.2.2  投标人在作出最终的投标报价以前，还应充分考虑本招标文件和咨询合同所约定的风险范围和内容，并将其费用计入投标报价中。</w:t>
      </w:r>
    </w:p>
    <w:p w14:paraId="2E80D72A">
      <w:pPr>
        <w:pageBreakBefore w:val="0"/>
        <w:kinsoku/>
        <w:wordWrap/>
        <w:overflowPunct/>
        <w:topLinePunct w:val="0"/>
        <w:bidi w:val="0"/>
        <w:snapToGrid w:val="0"/>
        <w:spacing w:line="360" w:lineRule="auto"/>
        <w:ind w:left="836" w:hanging="955" w:hangingChars="398"/>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.2.3  投标人对市场、项目实际情况、投标人所承担的所有风险等估计不足的所有费用，均视为已包括在其投标报价中。</w:t>
      </w:r>
    </w:p>
    <w:p w14:paraId="634C4EB9">
      <w:pPr>
        <w:pageBreakBefore w:val="0"/>
        <w:kinsoku/>
        <w:wordWrap/>
        <w:overflowPunct/>
        <w:topLinePunct w:val="0"/>
        <w:bidi w:val="0"/>
        <w:snapToGrid w:val="0"/>
        <w:spacing w:line="360" w:lineRule="auto"/>
        <w:ind w:left="840" w:hanging="960" w:hanging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r>
        <w:rPr>
          <w:rFonts w:hint="eastAsia" w:ascii="宋体" w:hAnsi="宋体" w:eastAsia="宋体" w:cs="宋体"/>
          <w:bCs/>
          <w:sz w:val="24"/>
          <w:szCs w:val="24"/>
          <w:highlight w:val="none"/>
          <w:lang w:val="en-US" w:eastAsia="zh-CN"/>
        </w:rPr>
        <w:t>4</w:t>
      </w:r>
      <w:r>
        <w:rPr>
          <w:rFonts w:hint="eastAsia" w:ascii="宋体" w:hAnsi="宋体" w:eastAsia="宋体" w:cs="宋体"/>
          <w:bCs/>
          <w:sz w:val="24"/>
          <w:szCs w:val="24"/>
          <w:highlight w:val="none"/>
        </w:rPr>
        <w:t>.2.4  投标人务必按本招标文件，特别是</w:t>
      </w:r>
      <w:r>
        <w:rPr>
          <w:rFonts w:hint="eastAsia" w:ascii="宋体" w:hAnsi="宋体" w:eastAsia="宋体" w:cs="宋体"/>
          <w:b/>
          <w:bCs/>
          <w:sz w:val="24"/>
          <w:szCs w:val="24"/>
          <w:highlight w:val="none"/>
        </w:rPr>
        <w:t>附件合同</w:t>
      </w:r>
      <w:r>
        <w:rPr>
          <w:rFonts w:hint="eastAsia" w:ascii="宋体" w:hAnsi="宋体" w:eastAsia="宋体" w:cs="宋体"/>
          <w:bCs/>
          <w:sz w:val="24"/>
          <w:szCs w:val="24"/>
          <w:highlight w:val="none"/>
        </w:rPr>
        <w:t>和关于报价说明等的要求，将完成其全部承包内容所发生的各项费用及预期利润和税金、可预见与不可预见的各种风险等全部费用，全部计入“</w:t>
      </w:r>
      <w:r>
        <w:rPr>
          <w:rFonts w:hint="eastAsia" w:ascii="宋体" w:hAnsi="宋体" w:eastAsia="宋体" w:cs="宋体"/>
          <w:b/>
          <w:bCs/>
          <w:sz w:val="24"/>
          <w:szCs w:val="24"/>
          <w:highlight w:val="none"/>
          <w:em w:val="dot"/>
        </w:rPr>
        <w:t>投标报价</w:t>
      </w:r>
      <w:r>
        <w:rPr>
          <w:rFonts w:hint="eastAsia" w:ascii="宋体" w:hAnsi="宋体" w:eastAsia="宋体" w:cs="宋体"/>
          <w:bCs/>
          <w:sz w:val="24"/>
          <w:szCs w:val="24"/>
          <w:highlight w:val="none"/>
        </w:rPr>
        <w:t>”内。</w:t>
      </w:r>
    </w:p>
    <w:p w14:paraId="3431C9C8">
      <w:pPr>
        <w:pageBreakBefore w:val="0"/>
        <w:kinsoku/>
        <w:wordWrap/>
        <w:overflowPunct/>
        <w:topLinePunct w:val="0"/>
        <w:bidi w:val="0"/>
        <w:snapToGrid w:val="0"/>
        <w:spacing w:line="360" w:lineRule="auto"/>
        <w:ind w:left="836" w:hanging="955" w:hangingChars="398"/>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r>
        <w:rPr>
          <w:rFonts w:hint="eastAsia" w:ascii="宋体" w:hAnsi="宋体" w:eastAsia="宋体" w:cs="宋体"/>
          <w:bCs/>
          <w:sz w:val="24"/>
          <w:szCs w:val="24"/>
          <w:highlight w:val="none"/>
          <w:lang w:val="en-US" w:eastAsia="zh-CN"/>
        </w:rPr>
        <w:t>4</w:t>
      </w:r>
      <w:r>
        <w:rPr>
          <w:rFonts w:hint="eastAsia" w:ascii="宋体" w:hAnsi="宋体" w:eastAsia="宋体" w:cs="宋体"/>
          <w:bCs/>
          <w:sz w:val="24"/>
          <w:szCs w:val="24"/>
          <w:highlight w:val="none"/>
        </w:rPr>
        <w:t>.2.5  投标人在现场考察时，应认真</w:t>
      </w:r>
      <w:r>
        <w:rPr>
          <w:rFonts w:hint="eastAsia" w:ascii="宋体" w:hAnsi="宋体" w:eastAsia="宋体" w:cs="宋体"/>
          <w:sz w:val="24"/>
          <w:szCs w:val="24"/>
          <w:highlight w:val="none"/>
        </w:rPr>
        <w:t>了解工地位置、情况、项目所在地政策、到项目所在地服务产生的差旅及任何其它足以影响承包价格的情况</w:t>
      </w:r>
      <w:r>
        <w:rPr>
          <w:rFonts w:hint="eastAsia" w:ascii="宋体" w:hAnsi="宋体" w:eastAsia="宋体" w:cs="宋体"/>
          <w:bCs/>
          <w:sz w:val="24"/>
          <w:szCs w:val="24"/>
          <w:highlight w:val="none"/>
        </w:rPr>
        <w:t>等，并将各项措施费用考虑充分后计入“投标报价”中，</w:t>
      </w:r>
      <w:r>
        <w:rPr>
          <w:rFonts w:hint="eastAsia" w:ascii="宋体" w:hAnsi="宋体" w:eastAsia="宋体" w:cs="宋体"/>
          <w:sz w:val="24"/>
          <w:szCs w:val="24"/>
          <w:highlight w:val="none"/>
        </w:rPr>
        <w:t>任何因忽视或误解工地情况而导致的索赔或工期延长申请将不获批准。</w:t>
      </w:r>
    </w:p>
    <w:p w14:paraId="28C653C5">
      <w:pPr>
        <w:pageBreakBefore w:val="0"/>
        <w:kinsoku/>
        <w:wordWrap/>
        <w:overflowPunct/>
        <w:topLinePunct w:val="0"/>
        <w:bidi w:val="0"/>
        <w:snapToGrid w:val="0"/>
        <w:spacing w:line="360" w:lineRule="auto"/>
        <w:ind w:left="836" w:hanging="955" w:hangingChars="398"/>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rPr>
        <w:t>1</w:t>
      </w:r>
      <w:r>
        <w:rPr>
          <w:rFonts w:hint="eastAsia" w:ascii="宋体" w:hAnsi="宋体" w:eastAsia="宋体" w:cs="宋体"/>
          <w:bCs/>
          <w:sz w:val="24"/>
          <w:szCs w:val="24"/>
          <w:highlight w:val="none"/>
          <w:lang w:val="en-US" w:eastAsia="zh-CN"/>
        </w:rPr>
        <w:t>4</w:t>
      </w:r>
      <w:r>
        <w:rPr>
          <w:rFonts w:hint="eastAsia" w:ascii="宋体" w:hAnsi="宋体" w:eastAsia="宋体" w:cs="宋体"/>
          <w:bCs/>
          <w:sz w:val="24"/>
          <w:szCs w:val="24"/>
          <w:highlight w:val="none"/>
        </w:rPr>
        <w:t xml:space="preserve">.2.6  </w:t>
      </w:r>
      <w:r>
        <w:rPr>
          <w:rFonts w:hint="eastAsia" w:ascii="宋体" w:hAnsi="宋体" w:eastAsia="宋体" w:cs="宋体"/>
          <w:sz w:val="24"/>
          <w:szCs w:val="24"/>
          <w:highlight w:val="none"/>
        </w:rPr>
        <w:t>投标人应认真编制其投标报价，将投标人自己实施完成的工作内容和工作内容的直接费用、间接费用和其它各项费用全部计入</w:t>
      </w:r>
      <w:r>
        <w:rPr>
          <w:rFonts w:hint="eastAsia" w:ascii="宋体" w:hAnsi="宋体" w:eastAsia="宋体" w:cs="宋体"/>
          <w:bCs/>
          <w:sz w:val="24"/>
          <w:szCs w:val="24"/>
          <w:highlight w:val="none"/>
        </w:rPr>
        <w:t>“投标报价”</w:t>
      </w:r>
      <w:r>
        <w:rPr>
          <w:rFonts w:hint="eastAsia" w:ascii="宋体" w:hAnsi="宋体" w:eastAsia="宋体" w:cs="宋体"/>
          <w:sz w:val="24"/>
          <w:szCs w:val="24"/>
          <w:highlight w:val="none"/>
        </w:rPr>
        <w:t>中；</w:t>
      </w:r>
      <w:r>
        <w:rPr>
          <w:rFonts w:hint="eastAsia" w:ascii="宋体" w:hAnsi="宋体" w:eastAsia="宋体" w:cs="宋体"/>
          <w:bCs/>
          <w:sz w:val="24"/>
          <w:szCs w:val="24"/>
          <w:highlight w:val="none"/>
        </w:rPr>
        <w:t>除本招标文件和</w:t>
      </w:r>
      <w:r>
        <w:rPr>
          <w:rFonts w:hint="eastAsia" w:ascii="宋体" w:hAnsi="宋体" w:eastAsia="宋体" w:cs="宋体"/>
          <w:b/>
          <w:bCs/>
          <w:sz w:val="24"/>
          <w:szCs w:val="24"/>
          <w:highlight w:val="none"/>
        </w:rPr>
        <w:t>附件合同</w:t>
      </w:r>
      <w:r>
        <w:rPr>
          <w:rFonts w:hint="eastAsia" w:ascii="宋体" w:hAnsi="宋体" w:eastAsia="宋体" w:cs="宋体"/>
          <w:bCs/>
          <w:sz w:val="24"/>
          <w:szCs w:val="24"/>
          <w:highlight w:val="none"/>
        </w:rPr>
        <w:t>有明确规定的费用以外，其它任何无明确规定的费用，招标人均不再支付，由投标人在投标前充分考虑风险范围后，计入“投标报价”中。</w:t>
      </w:r>
      <w:r>
        <w:rPr>
          <w:rFonts w:hint="eastAsia" w:ascii="宋体" w:hAnsi="宋体" w:eastAsia="宋体" w:cs="宋体"/>
          <w:bCs/>
          <w:sz w:val="24"/>
          <w:szCs w:val="24"/>
          <w:highlight w:val="none"/>
          <w:lang w:val="en-US" w:eastAsia="zh-CN"/>
        </w:rPr>
        <w:t xml:space="preserve"> </w:t>
      </w:r>
    </w:p>
    <w:p w14:paraId="60BDF001">
      <w:pPr>
        <w:pStyle w:val="162"/>
        <w:pageBreakBefore w:val="0"/>
        <w:numPr>
          <w:ilvl w:val="0"/>
          <w:numId w:val="0"/>
        </w:numPr>
        <w:kinsoku/>
        <w:wordWrap/>
        <w:overflowPunct/>
        <w:topLinePunct w:val="0"/>
        <w:bidi w:val="0"/>
        <w:spacing w:line="360" w:lineRule="auto"/>
        <w:ind w:left="960" w:leftChars="0" w:hanging="960" w:hangingChars="400"/>
        <w:textAlignment w:val="auto"/>
        <w:rPr>
          <w:rFonts w:hint="eastAsia" w:ascii="宋体" w:hAnsi="宋体" w:eastAsia="宋体" w:cs="宋体"/>
          <w:b/>
          <w:sz w:val="24"/>
          <w:szCs w:val="24"/>
          <w:highlight w:val="none"/>
        </w:rPr>
      </w:pPr>
      <w:r>
        <w:rPr>
          <w:rFonts w:hint="eastAsia" w:ascii="宋体" w:hAnsi="宋体" w:eastAsia="宋体" w:cs="宋体"/>
          <w:bCs/>
          <w:sz w:val="24"/>
          <w:szCs w:val="24"/>
          <w:highlight w:val="none"/>
          <w:lang w:val="en-US" w:eastAsia="zh-CN"/>
        </w:rPr>
        <w:t xml:space="preserve">14.3    </w:t>
      </w:r>
      <w:r>
        <w:rPr>
          <w:rFonts w:hint="eastAsia" w:ascii="宋体" w:hAnsi="宋体" w:eastAsia="宋体" w:cs="宋体"/>
          <w:b/>
          <w:sz w:val="24"/>
          <w:szCs w:val="24"/>
          <w:highlight w:val="none"/>
        </w:rPr>
        <w:t>综合单价是否包括税金（增值税），根据报价清单要求确定，但中标后向业主开具的发票均应当是增值税</w:t>
      </w:r>
      <w:r>
        <w:rPr>
          <w:rFonts w:hint="eastAsia" w:ascii="宋体" w:hAnsi="宋体" w:cs="宋体"/>
          <w:b/>
          <w:sz w:val="24"/>
          <w:szCs w:val="24"/>
          <w:highlight w:val="none"/>
          <w:lang w:val="en-US" w:eastAsia="zh-CN"/>
        </w:rPr>
        <w:t>普通</w:t>
      </w:r>
      <w:r>
        <w:rPr>
          <w:rFonts w:hint="eastAsia" w:ascii="宋体" w:hAnsi="宋体" w:eastAsia="宋体" w:cs="宋体"/>
          <w:b/>
          <w:sz w:val="24"/>
          <w:szCs w:val="24"/>
          <w:highlight w:val="none"/>
        </w:rPr>
        <w:t>发票。</w:t>
      </w:r>
    </w:p>
    <w:p w14:paraId="746DCA9D">
      <w:pPr>
        <w:pStyle w:val="139"/>
        <w:numPr>
          <w:ilvl w:val="0"/>
          <w:numId w:val="6"/>
        </w:numPr>
        <w:spacing w:line="360" w:lineRule="auto"/>
        <w:ind w:left="851" w:hanging="851" w:firstLineChars="0"/>
        <w:rPr>
          <w:rFonts w:ascii="宋体" w:hAnsi="宋体"/>
          <w:b/>
          <w:sz w:val="24"/>
          <w:szCs w:val="24"/>
        </w:rPr>
      </w:pPr>
      <w:r>
        <w:rPr>
          <w:rFonts w:hint="eastAsia" w:ascii="宋体" w:hAnsi="宋体"/>
          <w:b/>
          <w:sz w:val="24"/>
          <w:szCs w:val="24"/>
        </w:rPr>
        <w:t>投标有效期</w:t>
      </w:r>
    </w:p>
    <w:p w14:paraId="64C99CE5">
      <w:pPr>
        <w:pStyle w:val="139"/>
        <w:keepNext w:val="0"/>
        <w:keepLines w:val="0"/>
        <w:pageBreakBefore w:val="0"/>
        <w:widowControl w:val="0"/>
        <w:numPr>
          <w:ilvl w:val="0"/>
          <w:numId w:val="25"/>
        </w:numPr>
        <w:kinsoku/>
        <w:wordWrap/>
        <w:overflowPunct/>
        <w:topLinePunct w:val="0"/>
        <w:autoSpaceDE/>
        <w:autoSpaceDN/>
        <w:bidi w:val="0"/>
        <w:adjustRightInd/>
        <w:snapToGrid/>
        <w:spacing w:line="360" w:lineRule="auto"/>
        <w:ind w:left="845" w:leftChars="0" w:hanging="845" w:firstLineChars="0"/>
        <w:textAlignment w:val="auto"/>
        <w:rPr>
          <w:rFonts w:ascii="宋体" w:hAnsi="宋体"/>
          <w:sz w:val="24"/>
          <w:szCs w:val="24"/>
        </w:rPr>
      </w:pPr>
      <w:r>
        <w:rPr>
          <w:rFonts w:hint="eastAsia" w:ascii="宋体" w:hAnsi="宋体"/>
          <w:sz w:val="24"/>
          <w:szCs w:val="24"/>
        </w:rPr>
        <w:t>投标文件有效期为开标之日后的</w:t>
      </w:r>
      <w:r>
        <w:rPr>
          <w:rFonts w:hint="eastAsia" w:ascii="宋体" w:hAnsi="宋体"/>
          <w:sz w:val="24"/>
          <w:szCs w:val="24"/>
          <w:u w:val="single"/>
        </w:rPr>
        <w:t>90</w:t>
      </w:r>
      <w:r>
        <w:rPr>
          <w:rFonts w:hint="eastAsia" w:ascii="宋体" w:hAnsi="宋体"/>
          <w:sz w:val="24"/>
          <w:szCs w:val="24"/>
        </w:rPr>
        <w:t>天，在此期限内，所有投标文件均保持有效。</w:t>
      </w:r>
    </w:p>
    <w:p w14:paraId="7AE79BEB">
      <w:pPr>
        <w:pStyle w:val="139"/>
        <w:keepNext w:val="0"/>
        <w:keepLines w:val="0"/>
        <w:pageBreakBefore w:val="0"/>
        <w:widowControl w:val="0"/>
        <w:numPr>
          <w:ilvl w:val="0"/>
          <w:numId w:val="25"/>
        </w:numPr>
        <w:kinsoku/>
        <w:wordWrap/>
        <w:overflowPunct/>
        <w:topLinePunct w:val="0"/>
        <w:autoSpaceDE/>
        <w:autoSpaceDN/>
        <w:bidi w:val="0"/>
        <w:adjustRightInd/>
        <w:snapToGrid/>
        <w:spacing w:line="360" w:lineRule="auto"/>
        <w:ind w:left="845" w:leftChars="0" w:hanging="845" w:firstLineChars="0"/>
        <w:textAlignment w:val="auto"/>
        <w:rPr>
          <w:rFonts w:ascii="宋体" w:hAnsi="宋体"/>
          <w:sz w:val="24"/>
          <w:szCs w:val="24"/>
        </w:rPr>
      </w:pPr>
      <w:r>
        <w:rPr>
          <w:rFonts w:hint="eastAsia" w:ascii="宋体" w:hAnsi="宋体"/>
          <w:sz w:val="24"/>
          <w:szCs w:val="24"/>
        </w:rPr>
        <w:t>在特殊情况下，招标人在原定投标文件有效期内可以根据需要向投标人提出延长投标文件有效期的要求，相应地延长投标保证金的有效期，但不得因此而提出修改投标文件的要求。</w:t>
      </w:r>
    </w:p>
    <w:p w14:paraId="389741B0">
      <w:pPr>
        <w:pStyle w:val="139"/>
        <w:numPr>
          <w:ilvl w:val="0"/>
          <w:numId w:val="6"/>
        </w:numPr>
        <w:spacing w:line="360" w:lineRule="auto"/>
        <w:ind w:left="851" w:hanging="851" w:firstLineChars="0"/>
        <w:rPr>
          <w:rFonts w:ascii="宋体" w:hAnsi="宋体"/>
          <w:sz w:val="24"/>
          <w:szCs w:val="24"/>
        </w:rPr>
      </w:pPr>
      <w:r>
        <w:rPr>
          <w:rFonts w:hint="eastAsia" w:ascii="宋体" w:hAnsi="宋体"/>
          <w:b/>
          <w:sz w:val="24"/>
          <w:szCs w:val="24"/>
        </w:rPr>
        <w:t>标前会</w:t>
      </w:r>
      <w:r>
        <w:rPr>
          <w:rFonts w:hint="eastAsia" w:ascii="宋体" w:hAnsi="宋体"/>
          <w:sz w:val="24"/>
          <w:szCs w:val="24"/>
        </w:rPr>
        <w:t>（答疑会）</w:t>
      </w:r>
    </w:p>
    <w:p w14:paraId="4C2AEB1E">
      <w:pPr>
        <w:pStyle w:val="139"/>
        <w:keepNext w:val="0"/>
        <w:keepLines w:val="0"/>
        <w:pageBreakBefore w:val="0"/>
        <w:widowControl w:val="0"/>
        <w:numPr>
          <w:ilvl w:val="0"/>
          <w:numId w:val="26"/>
        </w:numPr>
        <w:kinsoku/>
        <w:wordWrap/>
        <w:overflowPunct/>
        <w:topLinePunct w:val="0"/>
        <w:autoSpaceDE/>
        <w:autoSpaceDN/>
        <w:bidi w:val="0"/>
        <w:adjustRightInd/>
        <w:snapToGrid/>
        <w:spacing w:line="360" w:lineRule="auto"/>
        <w:ind w:left="839" w:leftChars="0" w:hanging="839" w:firstLineChars="0"/>
        <w:textAlignment w:val="auto"/>
        <w:rPr>
          <w:rFonts w:ascii="宋体" w:hAnsi="宋体"/>
          <w:sz w:val="24"/>
          <w:szCs w:val="24"/>
        </w:rPr>
      </w:pPr>
      <w:r>
        <w:rPr>
          <w:rFonts w:hint="eastAsia" w:ascii="宋体" w:hAnsi="宋体"/>
          <w:sz w:val="24"/>
          <w:szCs w:val="24"/>
        </w:rPr>
        <w:t>除非招标人另行通知召开标前会，否则按照本须知第4款的规定办理。投标人应按照本须知第</w:t>
      </w:r>
      <w:r>
        <w:rPr>
          <w:rFonts w:ascii="宋体" w:hAnsi="宋体"/>
          <w:sz w:val="24"/>
          <w:szCs w:val="24"/>
        </w:rPr>
        <w:t>4</w:t>
      </w:r>
      <w:r>
        <w:rPr>
          <w:rFonts w:hint="eastAsia" w:ascii="宋体" w:hAnsi="宋体"/>
          <w:sz w:val="24"/>
          <w:szCs w:val="24"/>
        </w:rPr>
        <w:t>款有关时间安排以书面形式将质疑提交给招标人。招标人将按本须知第4款的有关时间安排以书面形式向所有投标人做出澄清和解答。</w:t>
      </w:r>
    </w:p>
    <w:p w14:paraId="107D2575">
      <w:pPr>
        <w:pStyle w:val="139"/>
        <w:keepNext w:val="0"/>
        <w:keepLines w:val="0"/>
        <w:pageBreakBefore w:val="0"/>
        <w:widowControl w:val="0"/>
        <w:numPr>
          <w:ilvl w:val="0"/>
          <w:numId w:val="26"/>
        </w:numPr>
        <w:kinsoku/>
        <w:wordWrap/>
        <w:overflowPunct/>
        <w:topLinePunct w:val="0"/>
        <w:autoSpaceDE/>
        <w:autoSpaceDN/>
        <w:bidi w:val="0"/>
        <w:adjustRightInd/>
        <w:snapToGrid/>
        <w:spacing w:line="360" w:lineRule="auto"/>
        <w:ind w:left="839" w:leftChars="0" w:hanging="839" w:firstLineChars="0"/>
        <w:textAlignment w:val="auto"/>
        <w:rPr>
          <w:rFonts w:hint="eastAsia" w:ascii="宋体" w:hAnsi="宋体"/>
          <w:sz w:val="24"/>
          <w:szCs w:val="24"/>
        </w:rPr>
      </w:pPr>
      <w:r>
        <w:rPr>
          <w:rFonts w:hint="eastAsia" w:ascii="宋体" w:hAnsi="宋体"/>
          <w:sz w:val="24"/>
          <w:szCs w:val="24"/>
        </w:rPr>
        <w:t>未提出投标质疑不作为否定投标人资格的理由。</w:t>
      </w:r>
    </w:p>
    <w:p w14:paraId="5F3FA5D3">
      <w:pPr>
        <w:pStyle w:val="139"/>
        <w:numPr>
          <w:ilvl w:val="0"/>
          <w:numId w:val="6"/>
        </w:numPr>
        <w:spacing w:line="360" w:lineRule="auto"/>
        <w:ind w:left="851" w:hanging="851" w:firstLineChars="0"/>
        <w:rPr>
          <w:rFonts w:ascii="宋体" w:hAnsi="宋体"/>
          <w:sz w:val="24"/>
          <w:szCs w:val="24"/>
        </w:rPr>
      </w:pPr>
      <w:r>
        <w:rPr>
          <w:rFonts w:hint="eastAsia" w:ascii="宋体" w:hAnsi="宋体"/>
          <w:b/>
          <w:sz w:val="24"/>
          <w:szCs w:val="24"/>
        </w:rPr>
        <w:t>投标文件的格式及其签署</w:t>
      </w:r>
    </w:p>
    <w:p w14:paraId="3DCBAFD7">
      <w:pPr>
        <w:pStyle w:val="139"/>
        <w:keepNext w:val="0"/>
        <w:keepLines w:val="0"/>
        <w:pageBreakBefore w:val="0"/>
        <w:widowControl w:val="0"/>
        <w:numPr>
          <w:ilvl w:val="0"/>
          <w:numId w:val="27"/>
        </w:numPr>
        <w:tabs>
          <w:tab w:val="left" w:pos="945"/>
          <w:tab w:val="left" w:pos="1050"/>
        </w:tabs>
        <w:kinsoku/>
        <w:wordWrap/>
        <w:overflowPunct/>
        <w:topLinePunct w:val="0"/>
        <w:autoSpaceDE/>
        <w:autoSpaceDN/>
        <w:bidi w:val="0"/>
        <w:adjustRightInd/>
        <w:snapToGrid/>
        <w:spacing w:line="360" w:lineRule="auto"/>
        <w:ind w:left="420" w:leftChars="0" w:right="0" w:rightChars="0" w:hanging="420" w:firstLineChars="0"/>
        <w:jc w:val="both"/>
        <w:textAlignment w:val="auto"/>
        <w:outlineLvl w:val="9"/>
        <w:rPr>
          <w:rFonts w:ascii="宋体" w:hAnsi="宋体"/>
          <w:b w:val="0"/>
          <w:bCs w:val="0"/>
          <w:sz w:val="24"/>
          <w:szCs w:val="24"/>
        </w:rPr>
      </w:pPr>
      <w:r>
        <w:rPr>
          <w:rFonts w:hint="eastAsia" w:ascii="宋体" w:hAnsi="宋体"/>
          <w:b w:val="0"/>
          <w:bCs w:val="0"/>
          <w:sz w:val="24"/>
          <w:szCs w:val="24"/>
        </w:rPr>
        <w:t>投标报价书的填写内容，必须使用不褪色的墨水笔书写，字迹应清晰易于辨认。</w:t>
      </w:r>
      <w:r>
        <w:rPr>
          <w:rFonts w:hint="eastAsia" w:ascii="宋体" w:hAnsi="宋体"/>
          <w:b w:val="0"/>
          <w:bCs w:val="0"/>
          <w:sz w:val="24"/>
          <w:szCs w:val="24"/>
          <w:lang w:val="en-US" w:eastAsia="zh-CN"/>
        </w:rPr>
        <w:t xml:space="preserve"> </w:t>
      </w:r>
    </w:p>
    <w:p w14:paraId="50A90FF9">
      <w:pPr>
        <w:pStyle w:val="139"/>
        <w:keepNext w:val="0"/>
        <w:keepLines w:val="0"/>
        <w:pageBreakBefore w:val="0"/>
        <w:widowControl w:val="0"/>
        <w:numPr>
          <w:ilvl w:val="0"/>
          <w:numId w:val="27"/>
        </w:numPr>
        <w:tabs>
          <w:tab w:val="left" w:pos="945"/>
          <w:tab w:val="left" w:pos="1050"/>
        </w:tabs>
        <w:kinsoku/>
        <w:wordWrap/>
        <w:overflowPunct/>
        <w:topLinePunct w:val="0"/>
        <w:autoSpaceDE/>
        <w:autoSpaceDN/>
        <w:bidi w:val="0"/>
        <w:adjustRightInd/>
        <w:snapToGrid/>
        <w:spacing w:line="360" w:lineRule="auto"/>
        <w:ind w:left="420" w:leftChars="0" w:right="0" w:rightChars="0" w:hanging="420" w:firstLineChars="0"/>
        <w:jc w:val="both"/>
        <w:textAlignment w:val="auto"/>
        <w:outlineLvl w:val="9"/>
        <w:rPr>
          <w:rFonts w:ascii="宋体" w:hAnsi="宋体"/>
          <w:b w:val="0"/>
          <w:bCs w:val="0"/>
          <w:sz w:val="24"/>
          <w:szCs w:val="24"/>
        </w:rPr>
      </w:pPr>
      <w:r>
        <w:rPr>
          <w:rFonts w:hint="eastAsia" w:ascii="宋体" w:hAnsi="宋体"/>
          <w:b w:val="0"/>
          <w:bCs w:val="0"/>
          <w:sz w:val="24"/>
          <w:szCs w:val="24"/>
        </w:rPr>
        <w:t>商务标采用本《招标文件》规定的统一格式。</w:t>
      </w:r>
    </w:p>
    <w:bookmarkEnd w:id="117"/>
    <w:p w14:paraId="1AD7AED8">
      <w:pPr>
        <w:pStyle w:val="3"/>
        <w:keepNext/>
        <w:keepLines/>
        <w:pageBreakBefore w:val="0"/>
        <w:widowControl w:val="0"/>
        <w:kinsoku/>
        <w:wordWrap/>
        <w:overflowPunct/>
        <w:topLinePunct w:val="0"/>
        <w:autoSpaceDE/>
        <w:autoSpaceDN/>
        <w:bidi w:val="0"/>
        <w:adjustRightInd/>
        <w:snapToGrid/>
        <w:spacing w:before="0" w:beforeLines="50" w:after="0" w:afterLines="50" w:line="360" w:lineRule="auto"/>
        <w:jc w:val="center"/>
        <w:textAlignment w:val="auto"/>
        <w:rPr>
          <w:rFonts w:ascii="宋体" w:hAnsi="宋体" w:eastAsia="宋体"/>
          <w:sz w:val="30"/>
          <w:szCs w:val="30"/>
        </w:rPr>
      </w:pPr>
      <w:bookmarkStart w:id="118" w:name="_Toc31657"/>
      <w:bookmarkStart w:id="119" w:name="_Toc4127"/>
      <w:bookmarkStart w:id="120" w:name="_Toc12240"/>
      <w:bookmarkStart w:id="121" w:name="_Toc24973"/>
      <w:bookmarkStart w:id="122" w:name="_Toc22633"/>
      <w:bookmarkStart w:id="123" w:name="_Toc27487"/>
      <w:bookmarkStart w:id="124" w:name="_Toc83196646"/>
      <w:bookmarkStart w:id="125" w:name="_Toc3467"/>
      <w:bookmarkStart w:id="126" w:name="_Toc13290"/>
      <w:bookmarkStart w:id="127" w:name="_Toc23003"/>
      <w:bookmarkStart w:id="128" w:name="_Toc32730"/>
      <w:bookmarkStart w:id="129" w:name="_Toc2951"/>
      <w:bookmarkStart w:id="130" w:name="_Toc25006"/>
      <w:bookmarkStart w:id="131" w:name="_Toc30685"/>
      <w:bookmarkStart w:id="132" w:name="_Toc5309"/>
      <w:bookmarkStart w:id="133" w:name="_Toc25313"/>
      <w:bookmarkStart w:id="134" w:name="_Toc421807500"/>
      <w:bookmarkStart w:id="135" w:name="_Toc9088"/>
      <w:bookmarkStart w:id="136" w:name="_Toc106690288"/>
      <w:r>
        <w:rPr>
          <w:rFonts w:hint="eastAsia" w:ascii="宋体" w:hAnsi="宋体" w:eastAsia="宋体"/>
          <w:sz w:val="30"/>
          <w:szCs w:val="30"/>
        </w:rPr>
        <w:t>四、投标文件的递交</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69FB5589">
      <w:pPr>
        <w:pStyle w:val="139"/>
        <w:numPr>
          <w:ilvl w:val="0"/>
          <w:numId w:val="6"/>
        </w:numPr>
        <w:spacing w:line="360" w:lineRule="auto"/>
        <w:ind w:left="851" w:hanging="851" w:firstLineChars="0"/>
        <w:rPr>
          <w:rFonts w:ascii="宋体" w:hAnsi="宋体"/>
          <w:b/>
          <w:sz w:val="24"/>
          <w:szCs w:val="24"/>
        </w:rPr>
      </w:pPr>
      <w:r>
        <w:rPr>
          <w:rFonts w:hint="eastAsia" w:ascii="宋体" w:hAnsi="宋体"/>
          <w:b/>
          <w:sz w:val="24"/>
          <w:szCs w:val="24"/>
        </w:rPr>
        <w:t>投标文件装订与密封</w:t>
      </w:r>
    </w:p>
    <w:p w14:paraId="29FF4D15">
      <w:pPr>
        <w:tabs>
          <w:tab w:val="left" w:pos="1050"/>
        </w:tabs>
        <w:spacing w:line="360" w:lineRule="auto"/>
        <w:ind w:left="836" w:leftChars="398"/>
        <w:rPr>
          <w:rFonts w:ascii="宋体" w:hAnsi="宋体"/>
          <w:sz w:val="24"/>
          <w:szCs w:val="24"/>
        </w:rPr>
      </w:pPr>
      <w:bookmarkStart w:id="137" w:name="_Toc83196647"/>
      <w:bookmarkStart w:id="138" w:name="_Toc106690289"/>
      <w:r>
        <w:rPr>
          <w:rFonts w:hint="eastAsia" w:ascii="宋体" w:hAnsi="宋体"/>
          <w:sz w:val="24"/>
          <w:szCs w:val="24"/>
        </w:rPr>
        <w:t>投标文件的密封袋由投标人自行准备，但必须对接缝口进行封口，并加盖投标人骑缝章（法人公章）。</w:t>
      </w:r>
    </w:p>
    <w:p w14:paraId="25576653">
      <w:pPr>
        <w:pStyle w:val="139"/>
        <w:numPr>
          <w:ilvl w:val="0"/>
          <w:numId w:val="6"/>
        </w:numPr>
        <w:spacing w:line="360" w:lineRule="auto"/>
        <w:ind w:left="851" w:hanging="851" w:firstLineChars="0"/>
        <w:rPr>
          <w:rFonts w:hint="eastAsia" w:ascii="宋体" w:hAnsi="宋体"/>
          <w:b/>
          <w:sz w:val="24"/>
          <w:szCs w:val="24"/>
        </w:rPr>
      </w:pPr>
      <w:r>
        <w:rPr>
          <w:rFonts w:hint="eastAsia" w:ascii="宋体" w:hAnsi="宋体"/>
          <w:b/>
          <w:sz w:val="24"/>
          <w:szCs w:val="24"/>
        </w:rPr>
        <w:t>递交投标文件的截止时间：按本须知第4条规定的时间执行。</w:t>
      </w:r>
    </w:p>
    <w:p w14:paraId="5FEE8155">
      <w:pPr>
        <w:pStyle w:val="139"/>
        <w:spacing w:line="360" w:lineRule="auto"/>
        <w:ind w:left="851" w:firstLine="0" w:firstLineChars="0"/>
        <w:rPr>
          <w:rFonts w:ascii="宋体" w:hAnsi="宋体"/>
          <w:sz w:val="24"/>
          <w:szCs w:val="24"/>
        </w:rPr>
      </w:pPr>
      <w:r>
        <w:rPr>
          <w:rFonts w:hint="eastAsia" w:ascii="宋体" w:hAnsi="宋体"/>
          <w:sz w:val="24"/>
          <w:szCs w:val="24"/>
        </w:rPr>
        <w:t>在本须知第</w:t>
      </w:r>
      <w:r>
        <w:rPr>
          <w:rFonts w:hint="eastAsia" w:ascii="宋体" w:hAnsi="宋体"/>
          <w:sz w:val="24"/>
          <w:szCs w:val="24"/>
          <w:lang w:val="en-US" w:eastAsia="zh-CN"/>
        </w:rPr>
        <w:t>4.4</w:t>
      </w:r>
      <w:r>
        <w:rPr>
          <w:rFonts w:hint="eastAsia" w:ascii="宋体" w:hAnsi="宋体"/>
          <w:sz w:val="24"/>
          <w:szCs w:val="24"/>
        </w:rPr>
        <w:t>条规定的投标截止日期后提交的投标文件（投标函），招标人有权拒绝接收。</w:t>
      </w:r>
    </w:p>
    <w:p w14:paraId="55B8C95A">
      <w:pPr>
        <w:pStyle w:val="139"/>
        <w:numPr>
          <w:ilvl w:val="0"/>
          <w:numId w:val="6"/>
        </w:numPr>
        <w:spacing w:line="360" w:lineRule="auto"/>
        <w:ind w:left="851" w:hanging="851" w:firstLineChars="0"/>
        <w:rPr>
          <w:rFonts w:hint="eastAsia" w:ascii="宋体" w:hAnsi="宋体"/>
          <w:b/>
          <w:sz w:val="24"/>
          <w:szCs w:val="24"/>
        </w:rPr>
      </w:pPr>
      <w:r>
        <w:rPr>
          <w:rFonts w:hint="eastAsia" w:ascii="宋体" w:hAnsi="宋体"/>
          <w:b/>
          <w:sz w:val="24"/>
          <w:szCs w:val="24"/>
        </w:rPr>
        <w:t>投标文件的补充修改与撤回</w:t>
      </w:r>
    </w:p>
    <w:p w14:paraId="332440BD">
      <w:pPr>
        <w:pStyle w:val="139"/>
        <w:keepNext w:val="0"/>
        <w:keepLines w:val="0"/>
        <w:pageBreakBefore w:val="0"/>
        <w:widowControl w:val="0"/>
        <w:numPr>
          <w:ilvl w:val="0"/>
          <w:numId w:val="28"/>
        </w:numPr>
        <w:kinsoku/>
        <w:wordWrap/>
        <w:overflowPunct/>
        <w:topLinePunct w:val="0"/>
        <w:autoSpaceDE/>
        <w:autoSpaceDN/>
        <w:bidi w:val="0"/>
        <w:adjustRightInd/>
        <w:snapToGrid/>
        <w:spacing w:line="360" w:lineRule="auto"/>
        <w:ind w:left="845" w:hanging="845" w:firstLineChars="0"/>
        <w:textAlignment w:val="auto"/>
        <w:rPr>
          <w:rFonts w:ascii="宋体" w:hAnsi="宋体" w:cs="Arial"/>
          <w:snapToGrid w:val="0"/>
          <w:sz w:val="24"/>
          <w:szCs w:val="24"/>
        </w:rPr>
      </w:pPr>
      <w:r>
        <w:rPr>
          <w:rFonts w:ascii="宋体" w:hAnsi="宋体" w:cs="Arial"/>
          <w:snapToGrid w:val="0"/>
          <w:sz w:val="24"/>
          <w:szCs w:val="24"/>
        </w:rPr>
        <w:t>投标人在提交投标文件以后，在规定的投标截止时间之前，可以书面形式补充修改已提交的投标文件，并以书面形式通知招标人。补充、修改的内容为投标文件的组成部分</w:t>
      </w:r>
      <w:r>
        <w:rPr>
          <w:rFonts w:hint="eastAsia" w:ascii="宋体" w:hAnsi="宋体" w:cs="Arial"/>
          <w:snapToGrid w:val="0"/>
          <w:sz w:val="24"/>
          <w:szCs w:val="24"/>
        </w:rPr>
        <w:t>，但必须按招标文件要求密封及装订</w:t>
      </w:r>
      <w:r>
        <w:rPr>
          <w:rFonts w:ascii="宋体" w:hAnsi="宋体" w:cs="Arial"/>
          <w:snapToGrid w:val="0"/>
          <w:sz w:val="24"/>
          <w:szCs w:val="24"/>
        </w:rPr>
        <w:t>。</w:t>
      </w:r>
    </w:p>
    <w:p w14:paraId="2D69C276">
      <w:pPr>
        <w:pStyle w:val="139"/>
        <w:keepNext w:val="0"/>
        <w:keepLines w:val="0"/>
        <w:pageBreakBefore w:val="0"/>
        <w:widowControl w:val="0"/>
        <w:numPr>
          <w:ilvl w:val="0"/>
          <w:numId w:val="28"/>
        </w:numPr>
        <w:kinsoku/>
        <w:wordWrap/>
        <w:overflowPunct/>
        <w:topLinePunct w:val="0"/>
        <w:autoSpaceDE/>
        <w:autoSpaceDN/>
        <w:bidi w:val="0"/>
        <w:adjustRightInd/>
        <w:snapToGrid/>
        <w:spacing w:line="360" w:lineRule="auto"/>
        <w:ind w:left="845" w:hanging="845" w:firstLineChars="0"/>
        <w:textAlignment w:val="auto"/>
        <w:rPr>
          <w:rFonts w:ascii="宋体" w:hAnsi="宋体" w:cs="Arial"/>
          <w:snapToGrid w:val="0"/>
          <w:sz w:val="24"/>
          <w:szCs w:val="24"/>
        </w:rPr>
      </w:pPr>
      <w:r>
        <w:rPr>
          <w:rFonts w:ascii="宋体" w:hAnsi="宋体" w:cs="Arial"/>
          <w:snapToGrid w:val="0"/>
          <w:sz w:val="24"/>
          <w:szCs w:val="24"/>
        </w:rPr>
        <w:t>投标人对投标文件的补充、修改，应按本须知有关规定密封、标记和提交，并在投标文件密封袋上清楚标明“补充、修改”字样。</w:t>
      </w:r>
    </w:p>
    <w:p w14:paraId="0A8FA08B">
      <w:pPr>
        <w:pStyle w:val="139"/>
        <w:keepNext w:val="0"/>
        <w:keepLines w:val="0"/>
        <w:pageBreakBefore w:val="0"/>
        <w:widowControl w:val="0"/>
        <w:numPr>
          <w:ilvl w:val="0"/>
          <w:numId w:val="28"/>
        </w:numPr>
        <w:kinsoku/>
        <w:wordWrap/>
        <w:overflowPunct/>
        <w:topLinePunct w:val="0"/>
        <w:autoSpaceDE/>
        <w:autoSpaceDN/>
        <w:bidi w:val="0"/>
        <w:adjustRightInd/>
        <w:snapToGrid/>
        <w:spacing w:line="360" w:lineRule="auto"/>
        <w:ind w:left="845" w:hanging="845" w:firstLineChars="0"/>
        <w:textAlignment w:val="auto"/>
        <w:rPr>
          <w:rFonts w:ascii="宋体" w:hAnsi="宋体" w:cs="Arial"/>
          <w:snapToGrid w:val="0"/>
          <w:sz w:val="24"/>
          <w:szCs w:val="24"/>
        </w:rPr>
      </w:pPr>
      <w:r>
        <w:rPr>
          <w:rFonts w:ascii="宋体" w:hAnsi="宋体" w:cs="Arial"/>
          <w:snapToGrid w:val="0"/>
          <w:sz w:val="24"/>
          <w:szCs w:val="24"/>
        </w:rPr>
        <w:t>在投标截止时间之后至投标有效期终止之前，投标人不得修改补充或撤回其投标文件</w:t>
      </w:r>
      <w:r>
        <w:rPr>
          <w:rFonts w:hint="eastAsia" w:ascii="宋体" w:hAnsi="宋体" w:cs="Arial"/>
          <w:snapToGrid w:val="0"/>
          <w:sz w:val="24"/>
          <w:szCs w:val="24"/>
        </w:rPr>
        <w:t>(除招标人要求外)</w:t>
      </w:r>
      <w:r>
        <w:rPr>
          <w:rFonts w:ascii="宋体" w:hAnsi="宋体" w:cs="Arial"/>
          <w:snapToGrid w:val="0"/>
          <w:sz w:val="24"/>
          <w:szCs w:val="24"/>
        </w:rPr>
        <w:t>。</w:t>
      </w:r>
    </w:p>
    <w:p w14:paraId="4A7BFD5F">
      <w:pPr>
        <w:pStyle w:val="3"/>
        <w:keepNext/>
        <w:keepLines/>
        <w:pageBreakBefore w:val="0"/>
        <w:widowControl w:val="0"/>
        <w:kinsoku/>
        <w:wordWrap/>
        <w:overflowPunct/>
        <w:topLinePunct w:val="0"/>
        <w:autoSpaceDE/>
        <w:autoSpaceDN/>
        <w:bidi w:val="0"/>
        <w:adjustRightInd/>
        <w:snapToGrid/>
        <w:spacing w:before="0" w:beforeLines="50" w:after="0" w:afterLines="50" w:line="360" w:lineRule="auto"/>
        <w:jc w:val="center"/>
        <w:textAlignment w:val="auto"/>
        <w:rPr>
          <w:rFonts w:ascii="宋体" w:hAnsi="宋体" w:eastAsia="宋体"/>
          <w:sz w:val="30"/>
          <w:szCs w:val="30"/>
        </w:rPr>
      </w:pPr>
      <w:bookmarkStart w:id="139" w:name="_Toc32264"/>
      <w:bookmarkStart w:id="140" w:name="_Toc9174"/>
      <w:bookmarkStart w:id="141" w:name="_Toc3149"/>
      <w:bookmarkStart w:id="142" w:name="_Toc10640"/>
      <w:bookmarkStart w:id="143" w:name="_Toc22691"/>
      <w:bookmarkStart w:id="144" w:name="_Toc6673"/>
      <w:bookmarkStart w:id="145" w:name="_Toc3585"/>
      <w:bookmarkStart w:id="146" w:name="_Toc23809"/>
      <w:bookmarkStart w:id="147" w:name="_Toc421807501"/>
      <w:bookmarkStart w:id="148" w:name="_Toc7785"/>
      <w:bookmarkStart w:id="149" w:name="_Toc2944"/>
      <w:bookmarkStart w:id="150" w:name="_Toc17568"/>
      <w:bookmarkStart w:id="151" w:name="_Toc14246"/>
      <w:bookmarkStart w:id="152" w:name="_Toc29767"/>
      <w:bookmarkStart w:id="153" w:name="_Toc14764"/>
      <w:bookmarkStart w:id="154" w:name="_Toc19681"/>
      <w:bookmarkStart w:id="155" w:name="_Toc23772"/>
      <w:r>
        <w:rPr>
          <w:rFonts w:hint="eastAsia" w:ascii="宋体" w:hAnsi="宋体" w:eastAsia="宋体"/>
          <w:sz w:val="30"/>
          <w:szCs w:val="30"/>
        </w:rPr>
        <w:t>五、开标、评标和定标</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4E6D423F">
      <w:pPr>
        <w:pStyle w:val="139"/>
        <w:numPr>
          <w:ilvl w:val="0"/>
          <w:numId w:val="29"/>
        </w:numPr>
        <w:spacing w:line="360" w:lineRule="auto"/>
        <w:ind w:left="851" w:hanging="851" w:firstLineChars="0"/>
        <w:rPr>
          <w:rFonts w:ascii="宋体" w:hAnsi="宋体"/>
          <w:b/>
          <w:sz w:val="24"/>
          <w:szCs w:val="24"/>
        </w:rPr>
      </w:pPr>
      <w:r>
        <w:rPr>
          <w:rFonts w:hint="eastAsia" w:ascii="宋体" w:hAnsi="宋体"/>
          <w:b/>
          <w:sz w:val="24"/>
          <w:szCs w:val="24"/>
        </w:rPr>
        <w:t>开标</w:t>
      </w:r>
    </w:p>
    <w:p w14:paraId="46B7AC51">
      <w:pPr>
        <w:pStyle w:val="139"/>
        <w:keepNext w:val="0"/>
        <w:keepLines w:val="0"/>
        <w:pageBreakBefore w:val="0"/>
        <w:widowControl w:val="0"/>
        <w:numPr>
          <w:ilvl w:val="0"/>
          <w:numId w:val="30"/>
        </w:numPr>
        <w:tabs>
          <w:tab w:val="left" w:pos="851"/>
        </w:tabs>
        <w:kinsoku/>
        <w:wordWrap/>
        <w:overflowPunct/>
        <w:topLinePunct w:val="0"/>
        <w:autoSpaceDE/>
        <w:autoSpaceDN/>
        <w:bidi w:val="0"/>
        <w:adjustRightInd/>
        <w:snapToGrid/>
        <w:spacing w:line="360" w:lineRule="auto"/>
        <w:ind w:left="851" w:leftChars="0" w:right="0" w:rightChars="0" w:hanging="851" w:firstLineChars="0"/>
        <w:jc w:val="both"/>
        <w:textAlignment w:val="auto"/>
        <w:outlineLvl w:val="9"/>
        <w:rPr>
          <w:rFonts w:ascii="宋体" w:hAnsi="宋体" w:cs="Arial"/>
          <w:snapToGrid w:val="0"/>
          <w:sz w:val="24"/>
          <w:szCs w:val="24"/>
          <w:highlight w:val="none"/>
        </w:rPr>
      </w:pPr>
      <w:r>
        <w:rPr>
          <w:rFonts w:hint="eastAsia" w:ascii="宋体" w:hAnsi="宋体" w:cs="Arial"/>
          <w:snapToGrid w:val="0"/>
          <w:sz w:val="24"/>
          <w:szCs w:val="24"/>
          <w:highlight w:val="none"/>
        </w:rPr>
        <w:t>招标人将于投标截止时间</w:t>
      </w:r>
      <w:r>
        <w:rPr>
          <w:rFonts w:hint="eastAsia" w:ascii="宋体" w:hAnsi="宋体" w:cs="Arial"/>
          <w:snapToGrid w:val="0"/>
          <w:sz w:val="24"/>
          <w:szCs w:val="24"/>
          <w:highlight w:val="none"/>
          <w:lang w:val="en-US" w:eastAsia="zh-CN"/>
        </w:rPr>
        <w:t>后</w:t>
      </w:r>
      <w:r>
        <w:rPr>
          <w:rFonts w:hint="eastAsia" w:ascii="宋体" w:hAnsi="宋体" w:cs="Arial"/>
          <w:snapToGrid w:val="0"/>
          <w:sz w:val="24"/>
          <w:szCs w:val="24"/>
          <w:highlight w:val="none"/>
        </w:rPr>
        <w:t>在</w:t>
      </w:r>
      <w:r>
        <w:rPr>
          <w:rFonts w:hint="eastAsia" w:ascii="宋体" w:hAnsi="宋体" w:cs="Arial"/>
          <w:b/>
          <w:bCs/>
          <w:snapToGrid w:val="0"/>
          <w:sz w:val="24"/>
          <w:szCs w:val="24"/>
          <w:highlight w:val="none"/>
          <w:lang w:eastAsia="zh-CN"/>
        </w:rPr>
        <w:t>重庆海联职业技术学院</w:t>
      </w:r>
      <w:r>
        <w:rPr>
          <w:rFonts w:hint="eastAsia" w:ascii="宋体" w:hAnsi="宋体" w:cs="Arial"/>
          <w:snapToGrid w:val="0"/>
          <w:sz w:val="24"/>
          <w:szCs w:val="24"/>
          <w:highlight w:val="none"/>
        </w:rPr>
        <w:t>会议室进行开标，投标人</w:t>
      </w:r>
      <w:r>
        <w:rPr>
          <w:rFonts w:hint="eastAsia" w:ascii="宋体" w:hAnsi="宋体" w:cs="Arial"/>
          <w:snapToGrid w:val="0"/>
          <w:sz w:val="24"/>
          <w:szCs w:val="24"/>
          <w:highlight w:val="none"/>
          <w:lang w:val="en-US" w:eastAsia="zh-CN"/>
        </w:rPr>
        <w:t>不参与开标会</w:t>
      </w:r>
      <w:r>
        <w:rPr>
          <w:rFonts w:hint="eastAsia" w:ascii="宋体" w:hAnsi="宋体" w:cs="Arial"/>
          <w:snapToGrid w:val="0"/>
          <w:sz w:val="24"/>
          <w:szCs w:val="24"/>
          <w:highlight w:val="none"/>
        </w:rPr>
        <w:t>。</w:t>
      </w:r>
    </w:p>
    <w:p w14:paraId="45547629">
      <w:pPr>
        <w:pStyle w:val="139"/>
        <w:numPr>
          <w:ilvl w:val="0"/>
          <w:numId w:val="29"/>
        </w:numPr>
        <w:spacing w:line="360" w:lineRule="auto"/>
        <w:ind w:left="851" w:hanging="851" w:firstLineChars="0"/>
        <w:rPr>
          <w:rFonts w:ascii="宋体" w:hAnsi="宋体"/>
          <w:b/>
          <w:sz w:val="24"/>
          <w:szCs w:val="24"/>
        </w:rPr>
      </w:pPr>
      <w:bookmarkStart w:id="156" w:name="_Toc83196648"/>
      <w:bookmarkStart w:id="157" w:name="_Toc106690290"/>
      <w:r>
        <w:rPr>
          <w:rFonts w:hint="eastAsia" w:ascii="宋体" w:hAnsi="宋体"/>
          <w:b/>
          <w:sz w:val="24"/>
          <w:szCs w:val="24"/>
        </w:rPr>
        <w:t>评标与评标办法</w:t>
      </w:r>
    </w:p>
    <w:p w14:paraId="71AD16D9">
      <w:pPr>
        <w:pStyle w:val="139"/>
        <w:numPr>
          <w:ilvl w:val="0"/>
          <w:numId w:val="31"/>
        </w:numPr>
        <w:tabs>
          <w:tab w:val="left" w:pos="851"/>
        </w:tabs>
        <w:spacing w:line="360" w:lineRule="auto"/>
        <w:ind w:left="851" w:hanging="851" w:firstLineChars="0"/>
        <w:rPr>
          <w:rFonts w:hint="eastAsia" w:ascii="宋体" w:hAnsi="宋体"/>
          <w:sz w:val="24"/>
          <w:szCs w:val="24"/>
          <w:highlight w:val="none"/>
        </w:rPr>
      </w:pPr>
      <w:r>
        <w:rPr>
          <w:rFonts w:hint="eastAsia" w:ascii="宋体" w:hAnsi="宋体"/>
          <w:sz w:val="24"/>
          <w:szCs w:val="24"/>
          <w:highlight w:val="none"/>
        </w:rPr>
        <w:t>评标在公司领导和各相关部门的监督和参与下进行，确保招标活动按照公开、公平、公正、诚实信用的原则进行。</w:t>
      </w:r>
    </w:p>
    <w:p w14:paraId="33B4E021">
      <w:pPr>
        <w:pStyle w:val="139"/>
        <w:numPr>
          <w:ilvl w:val="0"/>
          <w:numId w:val="31"/>
        </w:numPr>
        <w:tabs>
          <w:tab w:val="left" w:pos="851"/>
        </w:tabs>
        <w:spacing w:line="360" w:lineRule="auto"/>
        <w:ind w:left="851" w:hanging="851" w:firstLineChars="0"/>
        <w:rPr>
          <w:rFonts w:hint="eastAsia" w:ascii="宋体" w:hAnsi="宋体" w:eastAsia="宋体" w:cs="Times New Roman"/>
          <w:sz w:val="24"/>
          <w:szCs w:val="24"/>
          <w:highlight w:val="none"/>
        </w:rPr>
      </w:pPr>
      <w:r>
        <w:rPr>
          <w:rFonts w:hint="eastAsia" w:ascii="宋体" w:hAnsi="宋体" w:eastAsia="宋体" w:cs="Times New Roman"/>
          <w:b/>
          <w:bCs/>
          <w:sz w:val="24"/>
          <w:szCs w:val="24"/>
          <w:highlight w:val="none"/>
          <w:lang w:val="en-US" w:eastAsia="zh-CN"/>
        </w:rPr>
        <w:t>评标办法：</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以各投标人的“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商务标</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”进行综合评标，并以“</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综合得分较高</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”原则进行评标。</w:t>
      </w:r>
    </w:p>
    <w:p w14:paraId="090A3C4C">
      <w:pPr>
        <w:pStyle w:val="139"/>
        <w:numPr>
          <w:ilvl w:val="0"/>
          <w:numId w:val="31"/>
        </w:numPr>
        <w:spacing w:line="360" w:lineRule="auto"/>
        <w:ind w:left="851" w:hanging="851" w:firstLineChars="0"/>
        <w:rPr>
          <w:rFonts w:ascii="宋体" w:hAnsi="宋体"/>
          <w:b/>
          <w:sz w:val="24"/>
          <w:szCs w:val="24"/>
        </w:rPr>
      </w:pPr>
      <w:r>
        <w:rPr>
          <w:rFonts w:hint="eastAsia" w:ascii="宋体" w:hAnsi="宋体"/>
          <w:b/>
          <w:sz w:val="24"/>
          <w:szCs w:val="24"/>
        </w:rPr>
        <w:t>当投标人的投标文件有下列情况时，其投标文件无效，无效标书不参与评标。</w:t>
      </w:r>
    </w:p>
    <w:p w14:paraId="4B0F0E6B">
      <w:pPr>
        <w:pStyle w:val="139"/>
        <w:numPr>
          <w:ilvl w:val="0"/>
          <w:numId w:val="32"/>
        </w:numPr>
        <w:tabs>
          <w:tab w:val="left" w:pos="851"/>
        </w:tabs>
        <w:spacing w:line="360" w:lineRule="auto"/>
        <w:ind w:left="851" w:hanging="851" w:firstLineChars="0"/>
        <w:rPr>
          <w:rFonts w:ascii="宋体" w:hAnsi="宋体"/>
          <w:sz w:val="24"/>
          <w:szCs w:val="24"/>
        </w:rPr>
      </w:pPr>
      <w:r>
        <w:rPr>
          <w:rFonts w:hint="eastAsia" w:ascii="宋体" w:hAnsi="宋体"/>
          <w:sz w:val="24"/>
          <w:szCs w:val="24"/>
        </w:rPr>
        <w:t>未按招标文件要求及时提交投标文件的；</w:t>
      </w:r>
    </w:p>
    <w:p w14:paraId="53A36ED8">
      <w:pPr>
        <w:pStyle w:val="139"/>
        <w:numPr>
          <w:ilvl w:val="0"/>
          <w:numId w:val="32"/>
        </w:numPr>
        <w:tabs>
          <w:tab w:val="left" w:pos="851"/>
        </w:tabs>
        <w:spacing w:line="360" w:lineRule="auto"/>
        <w:ind w:left="851" w:hanging="851" w:firstLineChars="0"/>
        <w:rPr>
          <w:rFonts w:ascii="宋体" w:hAnsi="宋体"/>
          <w:sz w:val="24"/>
          <w:szCs w:val="24"/>
        </w:rPr>
      </w:pPr>
      <w:r>
        <w:rPr>
          <w:rFonts w:hint="eastAsia" w:ascii="宋体" w:hAnsi="宋体"/>
          <w:sz w:val="24"/>
          <w:szCs w:val="24"/>
        </w:rPr>
        <w:t>未使用招标人统一制定的“投标函”格式的或修改“投标函”格式文件内容的；</w:t>
      </w:r>
    </w:p>
    <w:p w14:paraId="07E64EDD">
      <w:pPr>
        <w:pStyle w:val="139"/>
        <w:numPr>
          <w:ilvl w:val="0"/>
          <w:numId w:val="32"/>
        </w:numPr>
        <w:tabs>
          <w:tab w:val="left" w:pos="851"/>
        </w:tabs>
        <w:spacing w:line="360" w:lineRule="auto"/>
        <w:ind w:left="851" w:hanging="851" w:firstLineChars="0"/>
        <w:rPr>
          <w:rFonts w:ascii="宋体" w:hAnsi="宋体"/>
          <w:sz w:val="24"/>
          <w:szCs w:val="24"/>
        </w:rPr>
      </w:pPr>
      <w:r>
        <w:rPr>
          <w:rFonts w:hint="eastAsia" w:ascii="宋体" w:hAnsi="宋体"/>
          <w:sz w:val="24"/>
          <w:szCs w:val="24"/>
        </w:rPr>
        <w:t>“投标总价”</w:t>
      </w:r>
      <w:r>
        <w:rPr>
          <w:rFonts w:hint="eastAsia" w:ascii="宋体" w:hAnsi="宋体"/>
          <w:sz w:val="24"/>
          <w:szCs w:val="24"/>
          <w:lang w:eastAsia="zh-CN"/>
        </w:rPr>
        <w:t>“各分项总价”</w:t>
      </w:r>
      <w:r>
        <w:rPr>
          <w:rFonts w:hint="eastAsia" w:ascii="宋体" w:hAnsi="宋体"/>
          <w:sz w:val="24"/>
          <w:szCs w:val="24"/>
        </w:rPr>
        <w:t>填写的数据，大写与小写不相符者，或投标函中有一项或一项以上未填写或填写不清楚的；</w:t>
      </w:r>
    </w:p>
    <w:p w14:paraId="36744089">
      <w:pPr>
        <w:pStyle w:val="139"/>
        <w:numPr>
          <w:ilvl w:val="0"/>
          <w:numId w:val="32"/>
        </w:numPr>
        <w:tabs>
          <w:tab w:val="left" w:pos="851"/>
        </w:tabs>
        <w:spacing w:line="360" w:lineRule="auto"/>
        <w:ind w:left="851" w:hanging="851" w:firstLineChars="0"/>
        <w:rPr>
          <w:rFonts w:ascii="宋体" w:hAnsi="宋体"/>
          <w:sz w:val="24"/>
          <w:szCs w:val="24"/>
        </w:rPr>
      </w:pPr>
      <w:r>
        <w:rPr>
          <w:rFonts w:hint="eastAsia" w:ascii="宋体" w:hAnsi="宋体"/>
          <w:sz w:val="24"/>
          <w:szCs w:val="24"/>
        </w:rPr>
        <w:t>“投标函”的封面或尾页未盖投标人法人公章并未经法定代表人或法定委托代理人签字或盖印章的；</w:t>
      </w:r>
    </w:p>
    <w:p w14:paraId="5DB913B9">
      <w:pPr>
        <w:pStyle w:val="139"/>
        <w:numPr>
          <w:ilvl w:val="0"/>
          <w:numId w:val="32"/>
        </w:numPr>
        <w:tabs>
          <w:tab w:val="left" w:pos="851"/>
        </w:tabs>
        <w:spacing w:line="360" w:lineRule="auto"/>
        <w:ind w:left="851" w:hanging="851" w:firstLineChars="0"/>
        <w:rPr>
          <w:rFonts w:ascii="宋体" w:hAnsi="宋体"/>
          <w:sz w:val="24"/>
          <w:szCs w:val="24"/>
        </w:rPr>
      </w:pPr>
      <w:r>
        <w:rPr>
          <w:rFonts w:hint="eastAsia" w:ascii="宋体" w:hAnsi="宋体"/>
          <w:sz w:val="24"/>
          <w:szCs w:val="24"/>
        </w:rPr>
        <w:t>投标人在其投标文件袋中提交了</w:t>
      </w:r>
      <w:r>
        <w:rPr>
          <w:rFonts w:hint="eastAsia" w:ascii="宋体" w:hAnsi="宋体"/>
          <w:b/>
          <w:sz w:val="24"/>
          <w:szCs w:val="24"/>
        </w:rPr>
        <w:t>两份或以上不同报价金额</w:t>
      </w:r>
      <w:r>
        <w:rPr>
          <w:rFonts w:hint="eastAsia" w:ascii="宋体" w:hAnsi="宋体"/>
          <w:sz w:val="24"/>
          <w:szCs w:val="24"/>
        </w:rPr>
        <w:t>的投标函；</w:t>
      </w:r>
    </w:p>
    <w:p w14:paraId="16D2C54D">
      <w:pPr>
        <w:pStyle w:val="139"/>
        <w:numPr>
          <w:ilvl w:val="0"/>
          <w:numId w:val="32"/>
        </w:numPr>
        <w:tabs>
          <w:tab w:val="left" w:pos="851"/>
        </w:tabs>
        <w:spacing w:line="360" w:lineRule="auto"/>
        <w:ind w:left="851" w:hanging="851" w:firstLineChars="0"/>
        <w:rPr>
          <w:rFonts w:ascii="宋体" w:hAnsi="宋体"/>
          <w:sz w:val="24"/>
          <w:szCs w:val="24"/>
        </w:rPr>
      </w:pPr>
      <w:r>
        <w:rPr>
          <w:rFonts w:hint="eastAsia" w:ascii="宋体" w:hAnsi="宋体"/>
          <w:sz w:val="24"/>
          <w:szCs w:val="24"/>
        </w:rPr>
        <w:t>投标函附件中无详细工程量清单计价表的；</w:t>
      </w:r>
    </w:p>
    <w:p w14:paraId="2C36A0FF">
      <w:pPr>
        <w:pStyle w:val="139"/>
        <w:numPr>
          <w:ilvl w:val="0"/>
          <w:numId w:val="32"/>
        </w:numPr>
        <w:tabs>
          <w:tab w:val="left" w:pos="851"/>
        </w:tabs>
        <w:spacing w:line="360" w:lineRule="auto"/>
        <w:ind w:left="851" w:hanging="851" w:firstLineChars="0"/>
        <w:rPr>
          <w:rFonts w:hint="eastAsia" w:ascii="宋体" w:hAnsi="宋体" w:eastAsia="宋体" w:cs="Times New Roman"/>
          <w:sz w:val="24"/>
          <w:szCs w:val="24"/>
        </w:rPr>
      </w:pPr>
      <w:r>
        <w:rPr>
          <w:rFonts w:hint="eastAsia" w:ascii="宋体" w:hAnsi="宋体" w:eastAsia="宋体" w:cs="Times New Roman"/>
          <w:sz w:val="24"/>
          <w:szCs w:val="24"/>
        </w:rPr>
        <w:t>经招标人评审认为投标人的投标报价严重偏离（偏高/偏低）市场价格的投标文件。</w:t>
      </w:r>
    </w:p>
    <w:p w14:paraId="25353DDC">
      <w:pPr>
        <w:pStyle w:val="139"/>
        <w:numPr>
          <w:ilvl w:val="0"/>
          <w:numId w:val="31"/>
        </w:numPr>
        <w:tabs>
          <w:tab w:val="left" w:pos="851"/>
        </w:tabs>
        <w:spacing w:line="360" w:lineRule="auto"/>
        <w:ind w:left="851" w:hanging="851" w:firstLineChars="0"/>
        <w:rPr>
          <w:rFonts w:ascii="宋体" w:hAnsi="宋体"/>
          <w:b/>
          <w:sz w:val="24"/>
          <w:szCs w:val="24"/>
        </w:rPr>
      </w:pPr>
      <w:r>
        <w:rPr>
          <w:rFonts w:hint="eastAsia" w:ascii="宋体" w:hAnsi="宋体"/>
          <w:b/>
          <w:sz w:val="24"/>
          <w:szCs w:val="24"/>
        </w:rPr>
        <w:t>评标办法：综合评标法。</w:t>
      </w:r>
    </w:p>
    <w:p w14:paraId="005ABA6C">
      <w:pPr>
        <w:pStyle w:val="139"/>
        <w:numPr>
          <w:ilvl w:val="0"/>
          <w:numId w:val="33"/>
        </w:numPr>
        <w:tabs>
          <w:tab w:val="left" w:pos="851"/>
        </w:tabs>
        <w:spacing w:line="360" w:lineRule="auto"/>
        <w:ind w:left="851" w:hanging="851"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对于所有合格投标文件，</w:t>
      </w:r>
      <w:r>
        <w:rPr>
          <w:rFonts w:hint="eastAsia" w:asciiTheme="minorEastAsia" w:hAnsiTheme="minorEastAsia" w:eastAsiaTheme="minorEastAsia" w:cstheme="minorEastAsia"/>
          <w:sz w:val="24"/>
          <w:szCs w:val="24"/>
          <w:highlight w:val="none"/>
          <w:lang w:val="en-US" w:eastAsia="zh-CN"/>
        </w:rPr>
        <w:t>招标人</w:t>
      </w:r>
      <w:r>
        <w:rPr>
          <w:rFonts w:hint="eastAsia" w:asciiTheme="minorEastAsia" w:hAnsiTheme="minorEastAsia" w:eastAsiaTheme="minorEastAsia" w:cstheme="minorEastAsia"/>
          <w:sz w:val="24"/>
          <w:szCs w:val="24"/>
          <w:highlight w:val="none"/>
        </w:rPr>
        <w:t>应当评审投标人的商务标及其他内容。</w:t>
      </w:r>
    </w:p>
    <w:p w14:paraId="7560AC84">
      <w:pPr>
        <w:pStyle w:val="139"/>
        <w:numPr>
          <w:ilvl w:val="0"/>
          <w:numId w:val="33"/>
        </w:numPr>
        <w:tabs>
          <w:tab w:val="left" w:pos="851"/>
        </w:tabs>
        <w:spacing w:line="360" w:lineRule="auto"/>
        <w:ind w:left="851" w:hanging="851"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按评分“</w:t>
      </w:r>
      <w:r>
        <w:rPr>
          <w:rFonts w:hint="eastAsia" w:asciiTheme="minorEastAsia" w:hAnsiTheme="minorEastAsia" w:eastAsiaTheme="minorEastAsia" w:cstheme="minorEastAsia"/>
          <w:b/>
          <w:bCs/>
          <w:sz w:val="24"/>
          <w:szCs w:val="24"/>
          <w:highlight w:val="none"/>
        </w:rPr>
        <w:t>高分优先</w:t>
      </w:r>
      <w:r>
        <w:rPr>
          <w:rFonts w:hint="eastAsia" w:asciiTheme="minorEastAsia" w:hAnsiTheme="minorEastAsia" w:eastAsiaTheme="minorEastAsia" w:cstheme="minorEastAsia"/>
          <w:sz w:val="24"/>
          <w:szCs w:val="24"/>
          <w:highlight w:val="none"/>
        </w:rPr>
        <w:t>”原则评标，当出现得分相同时，则由招标人采用投票方式确定中标候选人排名。</w:t>
      </w:r>
    </w:p>
    <w:p w14:paraId="15BAEE29">
      <w:pPr>
        <w:pStyle w:val="139"/>
        <w:numPr>
          <w:ilvl w:val="0"/>
          <w:numId w:val="33"/>
        </w:numPr>
        <w:tabs>
          <w:tab w:val="left" w:pos="851"/>
        </w:tabs>
        <w:spacing w:line="360" w:lineRule="auto"/>
        <w:ind w:left="851" w:hanging="851"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评标委员会</w:t>
      </w:r>
      <w:r>
        <w:rPr>
          <w:rFonts w:hint="eastAsia" w:asciiTheme="minorEastAsia" w:hAnsiTheme="minorEastAsia" w:eastAsiaTheme="minorEastAsia" w:cstheme="minorEastAsia"/>
          <w:sz w:val="24"/>
          <w:szCs w:val="24"/>
          <w:highlight w:val="none"/>
          <w:lang w:val="en-US" w:eastAsia="zh-CN"/>
        </w:rPr>
        <w:t>下述评分表</w:t>
      </w:r>
      <w:r>
        <w:rPr>
          <w:rFonts w:hint="eastAsia" w:asciiTheme="minorEastAsia" w:hAnsiTheme="minorEastAsia" w:eastAsiaTheme="minorEastAsia" w:cstheme="minorEastAsia"/>
          <w:sz w:val="24"/>
          <w:szCs w:val="24"/>
          <w:highlight w:val="none"/>
        </w:rPr>
        <w:t>进行综合评分或比较：</w:t>
      </w:r>
    </w:p>
    <w:p w14:paraId="635C275B">
      <w:pPr>
        <w:spacing w:line="460" w:lineRule="exact"/>
        <w:ind w:left="840" w:leftChars="400"/>
        <w:jc w:val="left"/>
        <w:rPr>
          <w:b/>
          <w:bCs/>
          <w:color w:val="auto"/>
          <w:sz w:val="24"/>
          <w:szCs w:val="24"/>
          <w:highlight w:val="none"/>
        </w:rPr>
      </w:pPr>
      <w:r>
        <w:rPr>
          <w:rFonts w:hint="eastAsia"/>
          <w:b/>
          <w:bCs/>
          <w:color w:val="auto"/>
          <w:sz w:val="24"/>
          <w:szCs w:val="24"/>
          <w:highlight w:val="none"/>
        </w:rPr>
        <w:t>附表：</w:t>
      </w:r>
      <w:r>
        <w:rPr>
          <w:rFonts w:hint="eastAsia"/>
          <w:b/>
          <w:bCs/>
          <w:color w:val="auto"/>
          <w:sz w:val="24"/>
          <w:szCs w:val="24"/>
          <w:highlight w:val="none"/>
          <w:lang w:val="en-US" w:eastAsia="zh-CN"/>
        </w:rPr>
        <w:t>监理综合</w:t>
      </w:r>
      <w:r>
        <w:rPr>
          <w:rFonts w:hint="eastAsia"/>
          <w:b/>
          <w:bCs/>
          <w:color w:val="auto"/>
          <w:sz w:val="24"/>
          <w:szCs w:val="24"/>
          <w:highlight w:val="none"/>
        </w:rPr>
        <w:t>评分表</w:t>
      </w:r>
    </w:p>
    <w:tbl>
      <w:tblPr>
        <w:tblStyle w:val="41"/>
        <w:tblW w:w="97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7"/>
        <w:gridCol w:w="1175"/>
        <w:gridCol w:w="1887"/>
        <w:gridCol w:w="3613"/>
        <w:gridCol w:w="700"/>
        <w:gridCol w:w="650"/>
        <w:gridCol w:w="625"/>
        <w:gridCol w:w="660"/>
      </w:tblGrid>
      <w:tr w14:paraId="4BEC3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B71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498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项目内容</w:t>
            </w:r>
          </w:p>
        </w:tc>
        <w:tc>
          <w:tcPr>
            <w:tcW w:w="55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F05C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评分标准及分值</w:t>
            </w:r>
          </w:p>
        </w:tc>
        <w:tc>
          <w:tcPr>
            <w:tcW w:w="26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113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投标人评定分值</w:t>
            </w:r>
          </w:p>
        </w:tc>
      </w:tr>
      <w:tr w14:paraId="78176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19F39">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7D9A8">
            <w:pPr>
              <w:jc w:val="center"/>
              <w:rPr>
                <w:rFonts w:hint="eastAsia" w:ascii="宋体" w:hAnsi="宋体" w:eastAsia="宋体" w:cs="宋体"/>
                <w:i w:val="0"/>
                <w:iCs w:val="0"/>
                <w:color w:val="000000"/>
                <w:sz w:val="18"/>
                <w:szCs w:val="18"/>
                <w:u w:val="none"/>
              </w:rPr>
            </w:pPr>
          </w:p>
        </w:tc>
        <w:tc>
          <w:tcPr>
            <w:tcW w:w="55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18461">
            <w:pPr>
              <w:jc w:val="center"/>
              <w:rPr>
                <w:rFonts w:hint="eastAsia" w:ascii="宋体" w:hAnsi="宋体" w:eastAsia="宋体" w:cs="宋体"/>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0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投标人</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4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投标人</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4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D6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投标人</w:t>
            </w:r>
          </w:p>
        </w:tc>
      </w:tr>
      <w:tr w14:paraId="46956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5" w:hRule="atLeast"/>
        </w:trPr>
        <w:tc>
          <w:tcPr>
            <w:tcW w:w="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F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64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监理费报价（30分）</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82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1.评标基准价=经评审的最低不含税报价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2.报价偏差率的计算=100%×(各投标人经评审的不含税报价-评标基准价)/评标基准价（偏差率保留小数点后两位，小数点后三位“四舍五入”） </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B91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投标报价偏差率每增加1%减0.5分，扣完为止</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A1668">
            <w:pPr>
              <w:jc w:val="both"/>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DD17">
            <w:pPr>
              <w:jc w:val="both"/>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78AE">
            <w:pPr>
              <w:jc w:val="both"/>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88C3">
            <w:pPr>
              <w:jc w:val="both"/>
              <w:rPr>
                <w:rFonts w:hint="eastAsia" w:ascii="宋体" w:hAnsi="宋体" w:eastAsia="宋体" w:cs="宋体"/>
                <w:i w:val="0"/>
                <w:iCs w:val="0"/>
                <w:color w:val="000000"/>
                <w:sz w:val="18"/>
                <w:szCs w:val="18"/>
                <w:u w:val="none"/>
              </w:rPr>
            </w:pPr>
          </w:p>
        </w:tc>
      </w:tr>
      <w:tr w14:paraId="62244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3B9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1D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项目监理机构与人员（22分）</w:t>
            </w:r>
          </w:p>
        </w:tc>
        <w:tc>
          <w:tcPr>
            <w:tcW w:w="18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C0B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总监资格与能力（8分）</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C35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总监专业为本工程主导专业5分，非主导专业3分</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E57FE">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171D8">
            <w:pPr>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BED7AE">
            <w:pPr>
              <w:jc w:val="center"/>
              <w:rPr>
                <w:rFonts w:hint="eastAsia" w:ascii="宋体" w:hAnsi="宋体" w:eastAsia="宋体" w:cs="宋体"/>
                <w:i w:val="0"/>
                <w:iCs w:val="0"/>
                <w:color w:val="000000"/>
                <w:sz w:val="18"/>
                <w:szCs w:val="18"/>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9EA87">
            <w:pPr>
              <w:jc w:val="center"/>
              <w:rPr>
                <w:rFonts w:hint="eastAsia" w:ascii="宋体" w:hAnsi="宋体" w:eastAsia="宋体" w:cs="宋体"/>
                <w:i w:val="0"/>
                <w:iCs w:val="0"/>
                <w:color w:val="000000"/>
                <w:sz w:val="18"/>
                <w:szCs w:val="18"/>
                <w:u w:val="none"/>
              </w:rPr>
            </w:pPr>
          </w:p>
        </w:tc>
      </w:tr>
      <w:tr w14:paraId="74ABC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87F98">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97AF1">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C6329">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DBCF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总监有注册监理工程师资格证书，同时具备工程师职称得3分</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0AD88">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C2A50">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21E2C">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F03CF">
            <w:pPr>
              <w:jc w:val="center"/>
              <w:rPr>
                <w:rFonts w:hint="eastAsia" w:ascii="宋体" w:hAnsi="宋体" w:eastAsia="宋体" w:cs="宋体"/>
                <w:i w:val="0"/>
                <w:iCs w:val="0"/>
                <w:color w:val="000000"/>
                <w:sz w:val="18"/>
                <w:szCs w:val="18"/>
                <w:u w:val="none"/>
              </w:rPr>
            </w:pPr>
          </w:p>
        </w:tc>
      </w:tr>
      <w:tr w14:paraId="76E1E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5EC3F">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EB542">
            <w:pPr>
              <w:jc w:val="center"/>
              <w:rPr>
                <w:rFonts w:hint="eastAsia" w:ascii="宋体" w:hAnsi="宋体" w:eastAsia="宋体" w:cs="宋体"/>
                <w:i w:val="0"/>
                <w:iCs w:val="0"/>
                <w:color w:val="000000"/>
                <w:sz w:val="18"/>
                <w:szCs w:val="18"/>
                <w:u w:val="none"/>
              </w:rPr>
            </w:pPr>
          </w:p>
        </w:tc>
        <w:tc>
          <w:tcPr>
            <w:tcW w:w="18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B9D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监理人员专业配套（8分）</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5630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配有安全监理工程师1分；并具有中级职称加一分（共2分）</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8568F">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51941">
            <w:pPr>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4B675">
            <w:pPr>
              <w:jc w:val="center"/>
              <w:rPr>
                <w:rFonts w:hint="eastAsia" w:ascii="宋体" w:hAnsi="宋体" w:eastAsia="宋体" w:cs="宋体"/>
                <w:i w:val="0"/>
                <w:iCs w:val="0"/>
                <w:color w:val="000000"/>
                <w:sz w:val="18"/>
                <w:szCs w:val="18"/>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D0C9E">
            <w:pPr>
              <w:jc w:val="center"/>
              <w:rPr>
                <w:rFonts w:hint="eastAsia" w:ascii="宋体" w:hAnsi="宋体" w:eastAsia="宋体" w:cs="宋体"/>
                <w:i w:val="0"/>
                <w:iCs w:val="0"/>
                <w:color w:val="000000"/>
                <w:sz w:val="18"/>
                <w:szCs w:val="18"/>
                <w:u w:val="none"/>
              </w:rPr>
            </w:pPr>
          </w:p>
        </w:tc>
      </w:tr>
      <w:tr w14:paraId="04D37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1331B">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52797">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86DDA">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3A7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根据工程规模足额配置监理人员且各专业基本配套的得5分，完全配套的得6分（一般房屋建筑工程需配齐，土建、水、暖、电、安全各专业监理人员）</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61A0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36B55">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4A6A8">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F229D">
            <w:pPr>
              <w:jc w:val="center"/>
              <w:rPr>
                <w:rFonts w:hint="eastAsia" w:ascii="宋体" w:hAnsi="宋体" w:eastAsia="宋体" w:cs="宋体"/>
                <w:i w:val="0"/>
                <w:iCs w:val="0"/>
                <w:color w:val="000000"/>
                <w:sz w:val="18"/>
                <w:szCs w:val="18"/>
                <w:u w:val="none"/>
              </w:rPr>
            </w:pPr>
          </w:p>
        </w:tc>
      </w:tr>
      <w:tr w14:paraId="686EC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14081">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FD494">
            <w:pPr>
              <w:jc w:val="center"/>
              <w:rPr>
                <w:rFonts w:hint="eastAsia" w:ascii="宋体" w:hAnsi="宋体" w:eastAsia="宋体" w:cs="宋体"/>
                <w:i w:val="0"/>
                <w:iCs w:val="0"/>
                <w:color w:val="000000"/>
                <w:sz w:val="18"/>
                <w:szCs w:val="18"/>
                <w:u w:val="none"/>
              </w:rPr>
            </w:pPr>
          </w:p>
        </w:tc>
        <w:tc>
          <w:tcPr>
            <w:tcW w:w="18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20F0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工程配备监理人员持证数（6分）</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B27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持证率在70%以下的得2分</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3E478">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CF22FE">
            <w:pPr>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86190E">
            <w:pPr>
              <w:jc w:val="center"/>
              <w:rPr>
                <w:rFonts w:hint="eastAsia" w:ascii="宋体" w:hAnsi="宋体" w:eastAsia="宋体" w:cs="宋体"/>
                <w:i w:val="0"/>
                <w:iCs w:val="0"/>
                <w:color w:val="000000"/>
                <w:sz w:val="18"/>
                <w:szCs w:val="18"/>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07784">
            <w:pPr>
              <w:jc w:val="center"/>
              <w:rPr>
                <w:rFonts w:hint="eastAsia" w:ascii="宋体" w:hAnsi="宋体" w:eastAsia="宋体" w:cs="宋体"/>
                <w:i w:val="0"/>
                <w:iCs w:val="0"/>
                <w:color w:val="000000"/>
                <w:sz w:val="18"/>
                <w:szCs w:val="18"/>
                <w:u w:val="none"/>
              </w:rPr>
            </w:pPr>
          </w:p>
        </w:tc>
      </w:tr>
      <w:tr w14:paraId="6FCEB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E8F5F">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18F81">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7FC5F">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6C1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持证率在70%-90%之间的得4分</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61AA9">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20D86">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186A4">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FBAF2">
            <w:pPr>
              <w:jc w:val="center"/>
              <w:rPr>
                <w:rFonts w:hint="eastAsia" w:ascii="宋体" w:hAnsi="宋体" w:eastAsia="宋体" w:cs="宋体"/>
                <w:i w:val="0"/>
                <w:iCs w:val="0"/>
                <w:color w:val="000000"/>
                <w:sz w:val="18"/>
                <w:szCs w:val="18"/>
                <w:u w:val="none"/>
              </w:rPr>
            </w:pPr>
          </w:p>
        </w:tc>
      </w:tr>
      <w:tr w14:paraId="785CE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A2005">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2B20B">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52B18">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CCE3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持证率在90%以上的得6分</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82578">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AC615">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A3077">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190D8">
            <w:pPr>
              <w:jc w:val="center"/>
              <w:rPr>
                <w:rFonts w:hint="eastAsia" w:ascii="宋体" w:hAnsi="宋体" w:eastAsia="宋体" w:cs="宋体"/>
                <w:i w:val="0"/>
                <w:iCs w:val="0"/>
                <w:color w:val="000000"/>
                <w:sz w:val="18"/>
                <w:szCs w:val="18"/>
                <w:u w:val="none"/>
              </w:rPr>
            </w:pPr>
          </w:p>
        </w:tc>
      </w:tr>
      <w:tr w14:paraId="491E8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4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4E64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C17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投标单位综合业绩（23分）</w:t>
            </w: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178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近三年该投标单位在渝监理过同类工程(9万平方米的房屋建筑及以上)3分，毎监理一个项目加1分，最多得3分</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7BBD">
            <w:pPr>
              <w:jc w:val="both"/>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4680">
            <w:pPr>
              <w:jc w:val="both"/>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B6DB">
            <w:pPr>
              <w:jc w:val="both"/>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ECB0">
            <w:pPr>
              <w:jc w:val="both"/>
              <w:rPr>
                <w:rFonts w:hint="eastAsia" w:ascii="宋体" w:hAnsi="宋体" w:eastAsia="宋体" w:cs="宋体"/>
                <w:i w:val="0"/>
                <w:iCs w:val="0"/>
                <w:color w:val="000000"/>
                <w:sz w:val="18"/>
                <w:szCs w:val="18"/>
                <w:u w:val="none"/>
              </w:rPr>
            </w:pPr>
          </w:p>
        </w:tc>
      </w:tr>
      <w:tr w14:paraId="5F95D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B47A2">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22EB6">
            <w:pPr>
              <w:jc w:val="center"/>
              <w:rPr>
                <w:rFonts w:hint="eastAsia" w:ascii="宋体" w:hAnsi="宋体" w:eastAsia="宋体" w:cs="宋体"/>
                <w:i w:val="0"/>
                <w:iCs w:val="0"/>
                <w:color w:val="000000"/>
                <w:sz w:val="18"/>
                <w:szCs w:val="18"/>
                <w:u w:val="none"/>
              </w:rPr>
            </w:pP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071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近三年投标单位所监理工程未发生较大安全事故以下的得3分，有一年发生较大安全事故的扣1分；有两年发生较大安全事故的不得分。以公司承诺为准</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26E1">
            <w:pPr>
              <w:jc w:val="both"/>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554C">
            <w:pPr>
              <w:jc w:val="both"/>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96B1">
            <w:pPr>
              <w:jc w:val="both"/>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9CE9">
            <w:pPr>
              <w:jc w:val="both"/>
              <w:rPr>
                <w:rFonts w:hint="eastAsia" w:ascii="宋体" w:hAnsi="宋体" w:eastAsia="宋体" w:cs="宋体"/>
                <w:i w:val="0"/>
                <w:iCs w:val="0"/>
                <w:color w:val="000000"/>
                <w:sz w:val="18"/>
                <w:szCs w:val="18"/>
                <w:u w:val="none"/>
              </w:rPr>
            </w:pPr>
          </w:p>
        </w:tc>
      </w:tr>
      <w:tr w14:paraId="6A666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9218B">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9203E">
            <w:pPr>
              <w:jc w:val="center"/>
              <w:rPr>
                <w:rFonts w:hint="eastAsia" w:ascii="宋体" w:hAnsi="宋体" w:eastAsia="宋体" w:cs="宋体"/>
                <w:i w:val="0"/>
                <w:iCs w:val="0"/>
                <w:color w:val="000000"/>
                <w:sz w:val="18"/>
                <w:szCs w:val="18"/>
                <w:u w:val="none"/>
              </w:rPr>
            </w:pP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DD0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通过ISO质量认证、ISO环境认证、职业健康认证3分（有一个得1分）</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1D057">
            <w:pPr>
              <w:jc w:val="both"/>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D771">
            <w:pPr>
              <w:jc w:val="both"/>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8D94">
            <w:pPr>
              <w:jc w:val="both"/>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1C17">
            <w:pPr>
              <w:jc w:val="both"/>
              <w:rPr>
                <w:rFonts w:hint="eastAsia" w:ascii="宋体" w:hAnsi="宋体" w:eastAsia="宋体" w:cs="宋体"/>
                <w:i w:val="0"/>
                <w:iCs w:val="0"/>
                <w:color w:val="000000"/>
                <w:sz w:val="18"/>
                <w:szCs w:val="18"/>
                <w:u w:val="none"/>
              </w:rPr>
            </w:pPr>
          </w:p>
        </w:tc>
      </w:tr>
      <w:tr w14:paraId="078B0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E1F8E">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B2215">
            <w:pPr>
              <w:jc w:val="center"/>
              <w:rPr>
                <w:rFonts w:hint="eastAsia" w:ascii="宋体" w:hAnsi="宋体" w:eastAsia="宋体" w:cs="宋体"/>
                <w:i w:val="0"/>
                <w:iCs w:val="0"/>
                <w:color w:val="000000"/>
                <w:sz w:val="18"/>
                <w:szCs w:val="18"/>
                <w:u w:val="none"/>
              </w:rPr>
            </w:pP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5D6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企业获得省级“重合同  守信用”3分，市“重合同  守信用”1分</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0DB6">
            <w:pPr>
              <w:jc w:val="both"/>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BBBF">
            <w:pPr>
              <w:jc w:val="both"/>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C17F">
            <w:pPr>
              <w:jc w:val="both"/>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8BA1">
            <w:pPr>
              <w:jc w:val="both"/>
              <w:rPr>
                <w:rFonts w:hint="eastAsia" w:ascii="宋体" w:hAnsi="宋体" w:eastAsia="宋体" w:cs="宋体"/>
                <w:i w:val="0"/>
                <w:iCs w:val="0"/>
                <w:color w:val="000000"/>
                <w:sz w:val="18"/>
                <w:szCs w:val="18"/>
                <w:u w:val="none"/>
              </w:rPr>
            </w:pPr>
          </w:p>
        </w:tc>
      </w:tr>
      <w:tr w14:paraId="1CC59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2D2F7">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037A7">
            <w:pPr>
              <w:jc w:val="center"/>
              <w:rPr>
                <w:rFonts w:hint="eastAsia" w:ascii="宋体" w:hAnsi="宋体" w:eastAsia="宋体" w:cs="宋体"/>
                <w:i w:val="0"/>
                <w:iCs w:val="0"/>
                <w:color w:val="000000"/>
                <w:sz w:val="18"/>
                <w:szCs w:val="18"/>
                <w:u w:val="none"/>
              </w:rPr>
            </w:pP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16E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企业信用等级为AAA得6分，AA得4分，A得2分，A以下不得分</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5E988">
            <w:pPr>
              <w:jc w:val="both"/>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4D5C5">
            <w:pPr>
              <w:jc w:val="both"/>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64FF">
            <w:pPr>
              <w:jc w:val="both"/>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1E14">
            <w:pPr>
              <w:jc w:val="both"/>
              <w:rPr>
                <w:rFonts w:hint="eastAsia" w:ascii="宋体" w:hAnsi="宋体" w:eastAsia="宋体" w:cs="宋体"/>
                <w:i w:val="0"/>
                <w:iCs w:val="0"/>
                <w:color w:val="000000"/>
                <w:sz w:val="18"/>
                <w:szCs w:val="18"/>
                <w:u w:val="none"/>
              </w:rPr>
            </w:pPr>
          </w:p>
        </w:tc>
      </w:tr>
      <w:tr w14:paraId="47E6D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7E2CB">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8CA87">
            <w:pPr>
              <w:jc w:val="center"/>
              <w:rPr>
                <w:rFonts w:hint="eastAsia" w:ascii="宋体" w:hAnsi="宋体" w:eastAsia="宋体" w:cs="宋体"/>
                <w:i w:val="0"/>
                <w:iCs w:val="0"/>
                <w:color w:val="000000"/>
                <w:sz w:val="18"/>
                <w:szCs w:val="18"/>
                <w:u w:val="none"/>
              </w:rPr>
            </w:pPr>
          </w:p>
        </w:tc>
        <w:tc>
          <w:tcPr>
            <w:tcW w:w="18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947E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检测设备（5分）</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2F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检测设备基本满足工程检测要求3分</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7BF008">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E9B327">
            <w:pPr>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8DF78C">
            <w:pPr>
              <w:jc w:val="center"/>
              <w:rPr>
                <w:rFonts w:hint="eastAsia" w:ascii="宋体" w:hAnsi="宋体" w:eastAsia="宋体" w:cs="宋体"/>
                <w:i w:val="0"/>
                <w:iCs w:val="0"/>
                <w:color w:val="000000"/>
                <w:sz w:val="18"/>
                <w:szCs w:val="18"/>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6B5F9">
            <w:pPr>
              <w:jc w:val="center"/>
              <w:rPr>
                <w:rFonts w:hint="eastAsia" w:ascii="宋体" w:hAnsi="宋体" w:eastAsia="宋体" w:cs="宋体"/>
                <w:i w:val="0"/>
                <w:iCs w:val="0"/>
                <w:color w:val="000000"/>
                <w:sz w:val="18"/>
                <w:szCs w:val="18"/>
                <w:u w:val="none"/>
              </w:rPr>
            </w:pPr>
          </w:p>
        </w:tc>
      </w:tr>
      <w:tr w14:paraId="4BF67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A64C0">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2BE3F">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EBFB3">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8B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检测设备完全满足工程检测要求5分</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3184E">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220ED">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49AD6">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FB9BD">
            <w:pPr>
              <w:jc w:val="center"/>
              <w:rPr>
                <w:rFonts w:hint="eastAsia" w:ascii="宋体" w:hAnsi="宋体" w:eastAsia="宋体" w:cs="宋体"/>
                <w:i w:val="0"/>
                <w:iCs w:val="0"/>
                <w:color w:val="000000"/>
                <w:sz w:val="18"/>
                <w:szCs w:val="18"/>
                <w:u w:val="none"/>
              </w:rPr>
            </w:pPr>
          </w:p>
        </w:tc>
      </w:tr>
      <w:tr w14:paraId="71F20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883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95A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监理大纲编写质量（25分）</w:t>
            </w:r>
          </w:p>
        </w:tc>
        <w:tc>
          <w:tcPr>
            <w:tcW w:w="18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745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工程概况（2分）</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B97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工程的各项参数以及现场状况表述清楚 （0.5-1分）</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453D5">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BE158">
            <w:pPr>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9B43F">
            <w:pPr>
              <w:jc w:val="center"/>
              <w:rPr>
                <w:rFonts w:hint="eastAsia" w:ascii="宋体" w:hAnsi="宋体" w:eastAsia="宋体" w:cs="宋体"/>
                <w:i w:val="0"/>
                <w:iCs w:val="0"/>
                <w:color w:val="000000"/>
                <w:sz w:val="18"/>
                <w:szCs w:val="18"/>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D7A5F4">
            <w:pPr>
              <w:jc w:val="center"/>
              <w:rPr>
                <w:rFonts w:hint="eastAsia" w:ascii="宋体" w:hAnsi="宋体" w:eastAsia="宋体" w:cs="宋体"/>
                <w:i w:val="0"/>
                <w:iCs w:val="0"/>
                <w:color w:val="000000"/>
                <w:sz w:val="18"/>
                <w:szCs w:val="18"/>
                <w:u w:val="none"/>
              </w:rPr>
            </w:pPr>
          </w:p>
        </w:tc>
      </w:tr>
      <w:tr w14:paraId="11901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66549">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16905">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53760">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C8B6F">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工程特点、实施难点、监理工作重点有针对性（0.5-1分）</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BC72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206BD">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0B36F">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C4B1C">
            <w:pPr>
              <w:jc w:val="center"/>
              <w:rPr>
                <w:rFonts w:hint="eastAsia" w:ascii="宋体" w:hAnsi="宋体" w:eastAsia="宋体" w:cs="宋体"/>
                <w:i w:val="0"/>
                <w:iCs w:val="0"/>
                <w:color w:val="000000"/>
                <w:sz w:val="18"/>
                <w:szCs w:val="18"/>
                <w:u w:val="none"/>
              </w:rPr>
            </w:pPr>
          </w:p>
        </w:tc>
      </w:tr>
      <w:tr w14:paraId="2796B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72516">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06952">
            <w:pPr>
              <w:jc w:val="center"/>
              <w:rPr>
                <w:rFonts w:hint="eastAsia" w:ascii="宋体" w:hAnsi="宋体" w:eastAsia="宋体" w:cs="宋体"/>
                <w:i w:val="0"/>
                <w:iCs w:val="0"/>
                <w:color w:val="000000"/>
                <w:sz w:val="18"/>
                <w:szCs w:val="18"/>
                <w:u w:val="none"/>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A7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组织协调（1分）</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F658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组织协调、方法明确、内容有针对性，综合协调措施得力（1分）</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A813">
            <w:pPr>
              <w:jc w:val="both"/>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036DB">
            <w:pPr>
              <w:jc w:val="both"/>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A852">
            <w:pPr>
              <w:jc w:val="both"/>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AC40">
            <w:pPr>
              <w:jc w:val="both"/>
              <w:rPr>
                <w:rFonts w:hint="eastAsia" w:ascii="宋体" w:hAnsi="宋体" w:eastAsia="宋体" w:cs="宋体"/>
                <w:i w:val="0"/>
                <w:iCs w:val="0"/>
                <w:color w:val="000000"/>
                <w:sz w:val="18"/>
                <w:szCs w:val="18"/>
                <w:u w:val="none"/>
              </w:rPr>
            </w:pPr>
          </w:p>
        </w:tc>
      </w:tr>
      <w:tr w14:paraId="69DD0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6BB4B">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5EF5B">
            <w:pPr>
              <w:jc w:val="center"/>
              <w:rPr>
                <w:rFonts w:hint="eastAsia" w:ascii="宋体" w:hAnsi="宋体" w:eastAsia="宋体" w:cs="宋体"/>
                <w:i w:val="0"/>
                <w:iCs w:val="0"/>
                <w:color w:val="000000"/>
                <w:sz w:val="18"/>
                <w:szCs w:val="18"/>
                <w:u w:val="none"/>
              </w:rPr>
            </w:pPr>
          </w:p>
        </w:tc>
        <w:tc>
          <w:tcPr>
            <w:tcW w:w="18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FAC9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投资控制方案（4分）</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FDD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针对工程实际的投资控制程序（0.5-1分）</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3CB59D">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8A448">
            <w:pPr>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255333">
            <w:pPr>
              <w:jc w:val="center"/>
              <w:rPr>
                <w:rFonts w:hint="eastAsia" w:ascii="宋体" w:hAnsi="宋体" w:eastAsia="宋体" w:cs="宋体"/>
                <w:i w:val="0"/>
                <w:iCs w:val="0"/>
                <w:color w:val="000000"/>
                <w:sz w:val="18"/>
                <w:szCs w:val="18"/>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AEE83A">
            <w:pPr>
              <w:jc w:val="center"/>
              <w:rPr>
                <w:rFonts w:hint="eastAsia" w:ascii="宋体" w:hAnsi="宋体" w:eastAsia="宋体" w:cs="宋体"/>
                <w:i w:val="0"/>
                <w:iCs w:val="0"/>
                <w:color w:val="000000"/>
                <w:sz w:val="18"/>
                <w:szCs w:val="18"/>
                <w:u w:val="none"/>
              </w:rPr>
            </w:pPr>
          </w:p>
        </w:tc>
      </w:tr>
      <w:tr w14:paraId="35530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C3687">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8A1FE">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09C38">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4DFF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确定投资控制目标及分解目标合理，投资控制有具体措施（0.5-2分）</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126A22">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AB5E6">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6EA58">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E9CBB">
            <w:pPr>
              <w:jc w:val="center"/>
              <w:rPr>
                <w:rFonts w:hint="eastAsia" w:ascii="宋体" w:hAnsi="宋体" w:eastAsia="宋体" w:cs="宋体"/>
                <w:i w:val="0"/>
                <w:iCs w:val="0"/>
                <w:color w:val="000000"/>
                <w:sz w:val="18"/>
                <w:szCs w:val="18"/>
                <w:u w:val="none"/>
              </w:rPr>
            </w:pPr>
          </w:p>
        </w:tc>
      </w:tr>
      <w:tr w14:paraId="5E02F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0673D">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424A1">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2DC82">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AB58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有工程造价目标风险分析并制定防范对策（0.5-1分）</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E3608">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F85D6">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B5C03">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864AB">
            <w:pPr>
              <w:jc w:val="center"/>
              <w:rPr>
                <w:rFonts w:hint="eastAsia" w:ascii="宋体" w:hAnsi="宋体" w:eastAsia="宋体" w:cs="宋体"/>
                <w:i w:val="0"/>
                <w:iCs w:val="0"/>
                <w:color w:val="000000"/>
                <w:sz w:val="18"/>
                <w:szCs w:val="18"/>
                <w:u w:val="none"/>
              </w:rPr>
            </w:pPr>
          </w:p>
        </w:tc>
      </w:tr>
      <w:tr w14:paraId="5D77C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9CC4B">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9CBE1">
            <w:pPr>
              <w:jc w:val="center"/>
              <w:rPr>
                <w:rFonts w:hint="eastAsia" w:ascii="宋体" w:hAnsi="宋体" w:eastAsia="宋体" w:cs="宋体"/>
                <w:i w:val="0"/>
                <w:iCs w:val="0"/>
                <w:color w:val="000000"/>
                <w:sz w:val="18"/>
                <w:szCs w:val="18"/>
                <w:u w:val="none"/>
              </w:rPr>
            </w:pPr>
          </w:p>
        </w:tc>
        <w:tc>
          <w:tcPr>
            <w:tcW w:w="18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B7FB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进度控制（4分）</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F6EF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说明进度控制的原则、任务和工作制度（0.5-1分）</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F7904B">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1EE29">
            <w:pPr>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571FC">
            <w:pPr>
              <w:jc w:val="center"/>
              <w:rPr>
                <w:rFonts w:hint="eastAsia" w:ascii="宋体" w:hAnsi="宋体" w:eastAsia="宋体" w:cs="宋体"/>
                <w:i w:val="0"/>
                <w:iCs w:val="0"/>
                <w:color w:val="000000"/>
                <w:sz w:val="18"/>
                <w:szCs w:val="18"/>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10BE1F">
            <w:pPr>
              <w:jc w:val="center"/>
              <w:rPr>
                <w:rFonts w:hint="eastAsia" w:ascii="宋体" w:hAnsi="宋体" w:eastAsia="宋体" w:cs="宋体"/>
                <w:i w:val="0"/>
                <w:iCs w:val="0"/>
                <w:color w:val="000000"/>
                <w:sz w:val="18"/>
                <w:szCs w:val="18"/>
                <w:u w:val="none"/>
              </w:rPr>
            </w:pPr>
          </w:p>
        </w:tc>
      </w:tr>
      <w:tr w14:paraId="55DF0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3FE93">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892CD">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C42C5">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2D4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对总进度目标的分解合理，能体现预控水平和全面控制水平（0.5-2分）</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C88BF">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BD81B">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AC5B7">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C1BF1">
            <w:pPr>
              <w:jc w:val="center"/>
              <w:rPr>
                <w:rFonts w:hint="eastAsia" w:ascii="宋体" w:hAnsi="宋体" w:eastAsia="宋体" w:cs="宋体"/>
                <w:i w:val="0"/>
                <w:iCs w:val="0"/>
                <w:color w:val="000000"/>
                <w:sz w:val="18"/>
                <w:szCs w:val="18"/>
                <w:u w:val="none"/>
              </w:rPr>
            </w:pPr>
          </w:p>
        </w:tc>
      </w:tr>
      <w:tr w14:paraId="71BF3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49704">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C75D0">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A423B">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C82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预控方法及手段明确，有进度控制要点(0.5-1分)</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37285">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1304C">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4943E">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38F5D">
            <w:pPr>
              <w:jc w:val="center"/>
              <w:rPr>
                <w:rFonts w:hint="eastAsia" w:ascii="宋体" w:hAnsi="宋体" w:eastAsia="宋体" w:cs="宋体"/>
                <w:i w:val="0"/>
                <w:iCs w:val="0"/>
                <w:color w:val="000000"/>
                <w:sz w:val="18"/>
                <w:szCs w:val="18"/>
                <w:u w:val="none"/>
              </w:rPr>
            </w:pPr>
          </w:p>
        </w:tc>
      </w:tr>
      <w:tr w14:paraId="24D9A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E2A8E">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2E0B7">
            <w:pPr>
              <w:jc w:val="center"/>
              <w:rPr>
                <w:rFonts w:hint="eastAsia" w:ascii="宋体" w:hAnsi="宋体" w:eastAsia="宋体" w:cs="宋体"/>
                <w:i w:val="0"/>
                <w:iCs w:val="0"/>
                <w:color w:val="000000"/>
                <w:sz w:val="18"/>
                <w:szCs w:val="18"/>
                <w:u w:val="none"/>
              </w:rPr>
            </w:pPr>
          </w:p>
        </w:tc>
        <w:tc>
          <w:tcPr>
            <w:tcW w:w="18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96B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质量控制（4分）</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B448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质量有总目标，并响应招标文件要求，且进行了目标分解（基础、结构、绿化等）（0.5-2分）</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D16369">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5F7304">
            <w:pPr>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D80BB">
            <w:pPr>
              <w:jc w:val="center"/>
              <w:rPr>
                <w:rFonts w:hint="eastAsia" w:ascii="宋体" w:hAnsi="宋体" w:eastAsia="宋体" w:cs="宋体"/>
                <w:i w:val="0"/>
                <w:iCs w:val="0"/>
                <w:color w:val="000000"/>
                <w:sz w:val="18"/>
                <w:szCs w:val="18"/>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3C7FC6">
            <w:pPr>
              <w:jc w:val="center"/>
              <w:rPr>
                <w:rFonts w:hint="eastAsia" w:ascii="宋体" w:hAnsi="宋体" w:eastAsia="宋体" w:cs="宋体"/>
                <w:i w:val="0"/>
                <w:iCs w:val="0"/>
                <w:color w:val="000000"/>
                <w:sz w:val="18"/>
                <w:szCs w:val="18"/>
                <w:u w:val="none"/>
              </w:rPr>
            </w:pPr>
          </w:p>
        </w:tc>
      </w:tr>
      <w:tr w14:paraId="0C37E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80651">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110B5">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E106E">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3703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对各分解目标提出相应的控制点，并提出相应的措施（0.5-1分）</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415CA">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BE65F">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455A2">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246E2">
            <w:pPr>
              <w:jc w:val="center"/>
              <w:rPr>
                <w:rFonts w:hint="eastAsia" w:ascii="宋体" w:hAnsi="宋体" w:eastAsia="宋体" w:cs="宋体"/>
                <w:i w:val="0"/>
                <w:iCs w:val="0"/>
                <w:color w:val="000000"/>
                <w:sz w:val="18"/>
                <w:szCs w:val="18"/>
                <w:u w:val="none"/>
              </w:rPr>
            </w:pPr>
          </w:p>
        </w:tc>
      </w:tr>
      <w:tr w14:paraId="3D0AA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6C8E9">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B5BC0">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F968A">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97F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质量控制的基本程序（包括质量事故的处理程序）及预控措施切实可行（0.5-1分）</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780E4">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49452">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67BBE">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17A64">
            <w:pPr>
              <w:jc w:val="center"/>
              <w:rPr>
                <w:rFonts w:hint="eastAsia" w:ascii="宋体" w:hAnsi="宋体" w:eastAsia="宋体" w:cs="宋体"/>
                <w:i w:val="0"/>
                <w:iCs w:val="0"/>
                <w:color w:val="000000"/>
                <w:sz w:val="18"/>
                <w:szCs w:val="18"/>
                <w:u w:val="none"/>
              </w:rPr>
            </w:pPr>
          </w:p>
        </w:tc>
      </w:tr>
      <w:tr w14:paraId="3FAB5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6D312">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19F84">
            <w:pPr>
              <w:jc w:val="center"/>
              <w:rPr>
                <w:rFonts w:hint="eastAsia" w:ascii="宋体" w:hAnsi="宋体" w:eastAsia="宋体" w:cs="宋体"/>
                <w:i w:val="0"/>
                <w:iCs w:val="0"/>
                <w:color w:val="000000"/>
                <w:sz w:val="18"/>
                <w:szCs w:val="18"/>
                <w:u w:val="none"/>
              </w:rPr>
            </w:pPr>
          </w:p>
        </w:tc>
        <w:tc>
          <w:tcPr>
            <w:tcW w:w="18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1D2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合同管理（4分）</w:t>
            </w: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99FC">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介绍合同分析要点。根据工程特点制定了索赔与反索赔措施（0.5-2分）</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0D4B8">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BF3795">
            <w:pPr>
              <w:jc w:val="center"/>
              <w:rPr>
                <w:rFonts w:hint="eastAsia" w:ascii="宋体" w:hAnsi="宋体" w:eastAsia="宋体" w:cs="宋体"/>
                <w:i w:val="0"/>
                <w:iCs w:val="0"/>
                <w:color w:val="000000"/>
                <w:sz w:val="18"/>
                <w:szCs w:val="18"/>
                <w:u w:val="none"/>
              </w:rPr>
            </w:pP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20B8E">
            <w:pPr>
              <w:jc w:val="center"/>
              <w:rPr>
                <w:rFonts w:hint="eastAsia" w:ascii="宋体" w:hAnsi="宋体" w:eastAsia="宋体" w:cs="宋体"/>
                <w:i w:val="0"/>
                <w:iCs w:val="0"/>
                <w:color w:val="000000"/>
                <w:sz w:val="18"/>
                <w:szCs w:val="18"/>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E71DAD">
            <w:pPr>
              <w:jc w:val="center"/>
              <w:rPr>
                <w:rFonts w:hint="eastAsia" w:ascii="宋体" w:hAnsi="宋体" w:eastAsia="宋体" w:cs="宋体"/>
                <w:i w:val="0"/>
                <w:iCs w:val="0"/>
                <w:color w:val="000000"/>
                <w:sz w:val="18"/>
                <w:szCs w:val="18"/>
                <w:u w:val="none"/>
              </w:rPr>
            </w:pPr>
          </w:p>
        </w:tc>
      </w:tr>
      <w:tr w14:paraId="016D0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B5A39">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AFF77">
            <w:pPr>
              <w:jc w:val="center"/>
              <w:rPr>
                <w:rFonts w:hint="eastAsia" w:ascii="宋体" w:hAnsi="宋体" w:eastAsia="宋体" w:cs="宋体"/>
                <w:i w:val="0"/>
                <w:iCs w:val="0"/>
                <w:color w:val="000000"/>
                <w:sz w:val="18"/>
                <w:szCs w:val="18"/>
                <w:u w:val="none"/>
              </w:rPr>
            </w:pPr>
          </w:p>
        </w:tc>
        <w:tc>
          <w:tcPr>
            <w:tcW w:w="1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86CD6">
            <w:pPr>
              <w:jc w:val="left"/>
              <w:rPr>
                <w:rFonts w:hint="eastAsia" w:ascii="宋体" w:hAnsi="宋体" w:eastAsia="宋体" w:cs="宋体"/>
                <w:i w:val="0"/>
                <w:iCs w:val="0"/>
                <w:color w:val="000000"/>
                <w:sz w:val="18"/>
                <w:szCs w:val="18"/>
                <w:u w:val="none"/>
              </w:rPr>
            </w:pPr>
          </w:p>
        </w:tc>
        <w:tc>
          <w:tcPr>
            <w:tcW w:w="3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648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有减少工程延期发生的预控措施，对工程延期的管理办法切实可行（0.5-2分）</w:t>
            </w: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7B1B0">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77BA0">
            <w:pPr>
              <w:jc w:val="center"/>
              <w:rPr>
                <w:rFonts w:hint="eastAsia" w:ascii="宋体" w:hAnsi="宋体" w:eastAsia="宋体" w:cs="宋体"/>
                <w:i w:val="0"/>
                <w:iCs w:val="0"/>
                <w:color w:val="000000"/>
                <w:sz w:val="18"/>
                <w:szCs w:val="18"/>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635B5">
            <w:pPr>
              <w:jc w:val="center"/>
              <w:rPr>
                <w:rFonts w:hint="eastAsia" w:ascii="宋体" w:hAnsi="宋体" w:eastAsia="宋体" w:cs="宋体"/>
                <w:i w:val="0"/>
                <w:iCs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FCC64">
            <w:pPr>
              <w:jc w:val="center"/>
              <w:rPr>
                <w:rFonts w:hint="eastAsia" w:ascii="宋体" w:hAnsi="宋体" w:eastAsia="宋体" w:cs="宋体"/>
                <w:i w:val="0"/>
                <w:iCs w:val="0"/>
                <w:color w:val="000000"/>
                <w:sz w:val="18"/>
                <w:szCs w:val="18"/>
                <w:u w:val="none"/>
              </w:rPr>
            </w:pPr>
          </w:p>
        </w:tc>
      </w:tr>
      <w:tr w14:paraId="57975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1BEF0">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411CB">
            <w:pPr>
              <w:jc w:val="center"/>
              <w:rPr>
                <w:rFonts w:hint="eastAsia" w:ascii="宋体" w:hAnsi="宋体" w:eastAsia="宋体" w:cs="宋体"/>
                <w:i w:val="0"/>
                <w:iCs w:val="0"/>
                <w:color w:val="000000"/>
                <w:sz w:val="18"/>
                <w:szCs w:val="18"/>
                <w:u w:val="none"/>
              </w:rPr>
            </w:pP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4493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信息管理方案（2分）   </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D29E">
            <w:pPr>
              <w:jc w:val="both"/>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32F1">
            <w:pPr>
              <w:jc w:val="both"/>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25D3">
            <w:pPr>
              <w:jc w:val="both"/>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0A50">
            <w:pPr>
              <w:jc w:val="both"/>
              <w:rPr>
                <w:rFonts w:hint="eastAsia" w:ascii="宋体" w:hAnsi="宋体" w:eastAsia="宋体" w:cs="宋体"/>
                <w:i w:val="0"/>
                <w:iCs w:val="0"/>
                <w:color w:val="000000"/>
                <w:sz w:val="18"/>
                <w:szCs w:val="18"/>
                <w:u w:val="none"/>
              </w:rPr>
            </w:pPr>
          </w:p>
        </w:tc>
      </w:tr>
      <w:tr w14:paraId="7FD2F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4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3870B">
            <w:pPr>
              <w:jc w:val="center"/>
              <w:rPr>
                <w:rFonts w:hint="eastAsia" w:ascii="宋体" w:hAnsi="宋体" w:eastAsia="宋体" w:cs="宋体"/>
                <w:i w:val="0"/>
                <w:iCs w:val="0"/>
                <w:color w:val="000000"/>
                <w:sz w:val="18"/>
                <w:szCs w:val="18"/>
                <w:u w:val="none"/>
              </w:rPr>
            </w:pPr>
          </w:p>
        </w:tc>
        <w:tc>
          <w:tcPr>
            <w:tcW w:w="1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39258">
            <w:pPr>
              <w:jc w:val="center"/>
              <w:rPr>
                <w:rFonts w:hint="eastAsia" w:ascii="宋体" w:hAnsi="宋体" w:eastAsia="宋体" w:cs="宋体"/>
                <w:i w:val="0"/>
                <w:iCs w:val="0"/>
                <w:color w:val="000000"/>
                <w:sz w:val="18"/>
                <w:szCs w:val="18"/>
                <w:u w:val="none"/>
              </w:rPr>
            </w:pPr>
          </w:p>
        </w:tc>
        <w:tc>
          <w:tcPr>
            <w:tcW w:w="5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0F0A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有工程施工安全监理措施 （4分） </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ED20">
            <w:pPr>
              <w:jc w:val="both"/>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49AE">
            <w:pPr>
              <w:jc w:val="both"/>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FD5A">
            <w:pPr>
              <w:jc w:val="both"/>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5B73">
            <w:pPr>
              <w:jc w:val="both"/>
              <w:rPr>
                <w:rFonts w:hint="eastAsia" w:ascii="宋体" w:hAnsi="宋体" w:eastAsia="宋体" w:cs="宋体"/>
                <w:i w:val="0"/>
                <w:iCs w:val="0"/>
                <w:color w:val="000000"/>
                <w:sz w:val="18"/>
                <w:szCs w:val="18"/>
                <w:u w:val="none"/>
              </w:rPr>
            </w:pPr>
          </w:p>
        </w:tc>
      </w:tr>
      <w:tr w14:paraId="00590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70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1834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评定分值（J1）</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458A5">
            <w:pPr>
              <w:jc w:val="both"/>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0D6D">
            <w:pPr>
              <w:jc w:val="both"/>
              <w:rPr>
                <w:rFonts w:hint="eastAsia" w:ascii="宋体" w:hAnsi="宋体" w:eastAsia="宋体" w:cs="宋体"/>
                <w:i w:val="0"/>
                <w:iCs w:val="0"/>
                <w:color w:val="000000"/>
                <w:sz w:val="18"/>
                <w:szCs w:val="18"/>
                <w:u w:val="none"/>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5898A">
            <w:pPr>
              <w:jc w:val="both"/>
              <w:rPr>
                <w:rFonts w:hint="eastAsia" w:ascii="宋体" w:hAnsi="宋体" w:eastAsia="宋体" w:cs="宋体"/>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5A0D2">
            <w:pPr>
              <w:rPr>
                <w:rFonts w:hint="eastAsia" w:ascii="宋体" w:hAnsi="宋体" w:eastAsia="宋体" w:cs="宋体"/>
                <w:i w:val="0"/>
                <w:iCs w:val="0"/>
                <w:color w:val="000000"/>
                <w:sz w:val="24"/>
                <w:szCs w:val="24"/>
                <w:u w:val="none"/>
              </w:rPr>
            </w:pPr>
          </w:p>
        </w:tc>
      </w:tr>
    </w:tbl>
    <w:p w14:paraId="6159951E">
      <w:pPr>
        <w:pStyle w:val="139"/>
        <w:numPr>
          <w:ilvl w:val="0"/>
          <w:numId w:val="0"/>
        </w:numPr>
        <w:tabs>
          <w:tab w:val="left" w:pos="851"/>
        </w:tabs>
        <w:spacing w:line="360" w:lineRule="auto"/>
        <w:ind w:leftChars="0"/>
        <w:rPr>
          <w:rFonts w:hint="eastAsia" w:ascii="宋体" w:hAnsi="宋体" w:eastAsia="宋体" w:cs="Times New Roman"/>
          <w:sz w:val="24"/>
          <w:szCs w:val="24"/>
          <w:highlight w:val="yellow"/>
        </w:rPr>
      </w:pPr>
    </w:p>
    <w:p w14:paraId="170195B8">
      <w:pPr>
        <w:pStyle w:val="139"/>
        <w:numPr>
          <w:ilvl w:val="0"/>
          <w:numId w:val="29"/>
        </w:numPr>
        <w:spacing w:line="360" w:lineRule="auto"/>
        <w:ind w:left="851" w:hanging="851" w:firstLineChars="0"/>
        <w:rPr>
          <w:rFonts w:ascii="宋体" w:hAnsi="宋体"/>
          <w:b/>
          <w:sz w:val="24"/>
          <w:szCs w:val="24"/>
        </w:rPr>
      </w:pPr>
      <w:r>
        <w:rPr>
          <w:rFonts w:hint="eastAsia" w:ascii="宋体" w:hAnsi="宋体"/>
          <w:b/>
          <w:sz w:val="24"/>
          <w:szCs w:val="24"/>
        </w:rPr>
        <w:t>投标文件的澄清及细微偏差的修正（清标）</w:t>
      </w:r>
    </w:p>
    <w:p w14:paraId="217C61D3">
      <w:pPr>
        <w:pStyle w:val="139"/>
        <w:numPr>
          <w:ilvl w:val="0"/>
          <w:numId w:val="34"/>
        </w:numPr>
        <w:spacing w:line="360" w:lineRule="auto"/>
        <w:ind w:left="851" w:hanging="851" w:firstLineChars="0"/>
        <w:rPr>
          <w:rFonts w:ascii="宋体" w:hAnsi="宋体"/>
          <w:sz w:val="24"/>
          <w:szCs w:val="24"/>
        </w:rPr>
      </w:pPr>
      <w:r>
        <w:rPr>
          <w:rFonts w:hint="eastAsia" w:ascii="宋体" w:hAnsi="宋体"/>
          <w:sz w:val="24"/>
          <w:szCs w:val="24"/>
        </w:rPr>
        <w:t>为了有助于投标文件的审查、评价和比较，招标人可以要求投标人对投标文件含义不明确的内容作必要的澄清或说明。有关澄清说明与答复，投标人应以书面形式进行，但对投标报价和实质性的内容不得更改。</w:t>
      </w:r>
    </w:p>
    <w:p w14:paraId="3158C992">
      <w:pPr>
        <w:pStyle w:val="139"/>
        <w:numPr>
          <w:ilvl w:val="0"/>
          <w:numId w:val="34"/>
        </w:numPr>
        <w:spacing w:line="360" w:lineRule="auto"/>
        <w:ind w:left="851" w:hanging="851" w:firstLineChars="0"/>
        <w:rPr>
          <w:rFonts w:ascii="宋体" w:hAnsi="宋体"/>
          <w:sz w:val="24"/>
          <w:szCs w:val="24"/>
        </w:rPr>
      </w:pPr>
      <w:r>
        <w:rPr>
          <w:rFonts w:hint="eastAsia" w:ascii="宋体" w:hAnsi="宋体"/>
          <w:sz w:val="24"/>
          <w:szCs w:val="24"/>
        </w:rPr>
        <w:t>投标文件细微偏差的修正</w:t>
      </w:r>
      <w:r>
        <w:rPr>
          <w:rFonts w:hint="eastAsia" w:ascii="宋体" w:hAnsi="宋体"/>
          <w:sz w:val="24"/>
          <w:szCs w:val="24"/>
          <w:lang w:eastAsia="zh-CN"/>
        </w:rPr>
        <w:t>：</w:t>
      </w:r>
    </w:p>
    <w:p w14:paraId="3EECE854">
      <w:pPr>
        <w:pStyle w:val="139"/>
        <w:numPr>
          <w:ilvl w:val="0"/>
          <w:numId w:val="35"/>
        </w:numPr>
        <w:spacing w:line="360" w:lineRule="auto"/>
        <w:ind w:left="851" w:hanging="851" w:firstLineChars="0"/>
        <w:rPr>
          <w:rFonts w:ascii="宋体" w:hAnsi="宋体"/>
          <w:sz w:val="24"/>
          <w:szCs w:val="24"/>
        </w:rPr>
      </w:pPr>
      <w:r>
        <w:rPr>
          <w:rFonts w:hint="eastAsia" w:ascii="宋体" w:hAnsi="宋体"/>
          <w:sz w:val="24"/>
          <w:szCs w:val="24"/>
        </w:rPr>
        <w:t>细微偏差是指通过审查的投标文件虽然实质上响应了招标文件要求，但存在计算或累计方面的算术错误，并且修正这些错误不会更改投标文件的实质性内容，不会对其他投标人造成不公平结果。细微偏差不影响投标文件的有效性。</w:t>
      </w:r>
    </w:p>
    <w:p w14:paraId="590782EF">
      <w:pPr>
        <w:pStyle w:val="139"/>
        <w:numPr>
          <w:ilvl w:val="0"/>
          <w:numId w:val="35"/>
        </w:numPr>
        <w:spacing w:line="360" w:lineRule="auto"/>
        <w:ind w:left="851" w:hanging="851" w:firstLineChars="0"/>
        <w:rPr>
          <w:rFonts w:ascii="宋体" w:hAnsi="宋体"/>
          <w:sz w:val="24"/>
          <w:szCs w:val="24"/>
        </w:rPr>
      </w:pPr>
      <w:r>
        <w:rPr>
          <w:rFonts w:hint="eastAsia" w:ascii="宋体" w:hAnsi="宋体"/>
          <w:sz w:val="24"/>
          <w:szCs w:val="24"/>
        </w:rPr>
        <w:t>经招标人确认存在细微偏差的投标文件，招标人可以在评标结果宣布之前要求投标人对投标文件中存在的细微偏差进行修正。若投标人拒绝修正，其投标文件将被拒绝而不予继续评审。</w:t>
      </w:r>
    </w:p>
    <w:p w14:paraId="08F10FF5">
      <w:pPr>
        <w:pStyle w:val="139"/>
        <w:numPr>
          <w:ilvl w:val="0"/>
          <w:numId w:val="35"/>
        </w:numPr>
        <w:spacing w:line="360" w:lineRule="auto"/>
        <w:ind w:left="851" w:hanging="851" w:firstLineChars="0"/>
        <w:rPr>
          <w:rFonts w:ascii="宋体" w:hAnsi="宋体"/>
          <w:sz w:val="24"/>
          <w:szCs w:val="24"/>
        </w:rPr>
      </w:pPr>
      <w:r>
        <w:rPr>
          <w:rFonts w:hint="eastAsia" w:ascii="宋体" w:hAnsi="宋体"/>
          <w:sz w:val="24"/>
          <w:szCs w:val="24"/>
        </w:rPr>
        <w:t>通过审查的投标文件，若投标文件存在细微偏差，将按照以下原则进行修正：</w:t>
      </w:r>
    </w:p>
    <w:p w14:paraId="693146B5">
      <w:pPr>
        <w:pStyle w:val="139"/>
        <w:numPr>
          <w:ilvl w:val="0"/>
          <w:numId w:val="36"/>
        </w:numPr>
        <w:spacing w:line="360" w:lineRule="auto"/>
        <w:ind w:left="851" w:hanging="851" w:firstLineChars="0"/>
        <w:rPr>
          <w:rFonts w:ascii="宋体" w:hAnsi="宋体"/>
          <w:sz w:val="24"/>
          <w:szCs w:val="24"/>
        </w:rPr>
      </w:pPr>
      <w:r>
        <w:rPr>
          <w:rFonts w:hint="eastAsia" w:ascii="宋体" w:hAnsi="宋体"/>
          <w:sz w:val="24"/>
          <w:szCs w:val="24"/>
        </w:rPr>
        <w:t>投标文件中的大写金额与小写金额不一致的，以大写金额为准进行修正；</w:t>
      </w:r>
    </w:p>
    <w:p w14:paraId="3FB4B6E7">
      <w:pPr>
        <w:pStyle w:val="139"/>
        <w:numPr>
          <w:ilvl w:val="0"/>
          <w:numId w:val="36"/>
        </w:numPr>
        <w:spacing w:line="360" w:lineRule="auto"/>
        <w:ind w:left="851" w:hanging="851" w:firstLineChars="0"/>
        <w:rPr>
          <w:rFonts w:ascii="宋体" w:hAnsi="宋体"/>
          <w:sz w:val="24"/>
          <w:szCs w:val="24"/>
        </w:rPr>
      </w:pPr>
      <w:r>
        <w:rPr>
          <w:rFonts w:hint="eastAsia" w:ascii="宋体" w:hAnsi="宋体"/>
          <w:sz w:val="24"/>
          <w:szCs w:val="24"/>
        </w:rPr>
        <w:t>单价金额和工程量乘积与合计金额不一致的，以单价金额为准进行修正。评标委员会认为单价金额小数点有明显错位的，应以合价为准，并修正单价。</w:t>
      </w:r>
    </w:p>
    <w:p w14:paraId="5C4B6A90">
      <w:pPr>
        <w:pStyle w:val="139"/>
        <w:numPr>
          <w:ilvl w:val="0"/>
          <w:numId w:val="36"/>
        </w:numPr>
        <w:spacing w:line="360" w:lineRule="auto"/>
        <w:ind w:left="851" w:hanging="851" w:firstLineChars="0"/>
        <w:rPr>
          <w:rFonts w:ascii="宋体" w:hAnsi="宋体"/>
          <w:sz w:val="24"/>
          <w:szCs w:val="24"/>
        </w:rPr>
      </w:pPr>
      <w:r>
        <w:rPr>
          <w:rFonts w:hint="eastAsia" w:ascii="宋体" w:hAnsi="宋体"/>
          <w:sz w:val="24"/>
          <w:szCs w:val="24"/>
        </w:rPr>
        <w:t>分项报价金额累计与投标总价金额不一致时，以分项报价金额累计为准修正总价（修正后的总价不得高于投标函的总报价，如果高于时，将按高出部分金额的比例进行反向修正（降低）各分项报价）。除非招标人认为分项报价金额小数点有明显错位的，应以原投标总价为准，并修正分项报价。</w:t>
      </w:r>
    </w:p>
    <w:p w14:paraId="4390CC6A">
      <w:pPr>
        <w:pStyle w:val="139"/>
        <w:numPr>
          <w:ilvl w:val="0"/>
          <w:numId w:val="29"/>
        </w:numPr>
        <w:tabs>
          <w:tab w:val="left" w:pos="851"/>
        </w:tabs>
        <w:spacing w:line="360" w:lineRule="auto"/>
        <w:ind w:left="851" w:hanging="851" w:firstLineChars="0"/>
        <w:rPr>
          <w:rFonts w:ascii="宋体" w:hAnsi="宋体"/>
          <w:b/>
          <w:sz w:val="24"/>
          <w:szCs w:val="24"/>
        </w:rPr>
      </w:pPr>
      <w:r>
        <w:rPr>
          <w:rFonts w:hint="eastAsia" w:ascii="宋体" w:hAnsi="宋体"/>
          <w:b/>
          <w:sz w:val="24"/>
          <w:szCs w:val="24"/>
        </w:rPr>
        <w:t>合同谈判（如有）</w:t>
      </w:r>
    </w:p>
    <w:p w14:paraId="44DCB80D">
      <w:pPr>
        <w:pStyle w:val="139"/>
        <w:keepNext w:val="0"/>
        <w:keepLines w:val="0"/>
        <w:pageBreakBefore w:val="0"/>
        <w:widowControl w:val="0"/>
        <w:numPr>
          <w:ilvl w:val="0"/>
          <w:numId w:val="37"/>
        </w:numPr>
        <w:kinsoku/>
        <w:wordWrap/>
        <w:overflowPunct/>
        <w:topLinePunct w:val="0"/>
        <w:autoSpaceDE/>
        <w:autoSpaceDN/>
        <w:bidi w:val="0"/>
        <w:adjustRightInd/>
        <w:snapToGrid/>
        <w:spacing w:line="360" w:lineRule="auto"/>
        <w:ind w:left="845" w:hanging="845" w:firstLineChars="0"/>
        <w:textAlignment w:val="auto"/>
        <w:rPr>
          <w:rFonts w:ascii="宋体" w:hAnsi="宋体"/>
          <w:sz w:val="24"/>
          <w:szCs w:val="24"/>
        </w:rPr>
      </w:pPr>
      <w:r>
        <w:rPr>
          <w:rFonts w:hint="eastAsia" w:ascii="宋体" w:hAnsi="宋体"/>
          <w:sz w:val="24"/>
          <w:szCs w:val="24"/>
        </w:rPr>
        <w:t>招标人有权根据清标情况和有关合同细节进行商务谈判，投标人应当配合招标人的谈判安排。</w:t>
      </w:r>
    </w:p>
    <w:p w14:paraId="432977BF">
      <w:pPr>
        <w:pStyle w:val="139"/>
        <w:keepNext w:val="0"/>
        <w:keepLines w:val="0"/>
        <w:pageBreakBefore w:val="0"/>
        <w:widowControl w:val="0"/>
        <w:numPr>
          <w:ilvl w:val="0"/>
          <w:numId w:val="37"/>
        </w:numPr>
        <w:kinsoku/>
        <w:wordWrap/>
        <w:overflowPunct/>
        <w:topLinePunct w:val="0"/>
        <w:autoSpaceDE/>
        <w:autoSpaceDN/>
        <w:bidi w:val="0"/>
        <w:adjustRightInd/>
        <w:snapToGrid/>
        <w:spacing w:line="360" w:lineRule="auto"/>
        <w:ind w:left="845" w:hanging="845" w:firstLineChars="0"/>
        <w:textAlignment w:val="auto"/>
        <w:rPr>
          <w:rFonts w:ascii="宋体" w:hAnsi="宋体"/>
          <w:bCs/>
          <w:sz w:val="24"/>
          <w:szCs w:val="24"/>
        </w:rPr>
      </w:pPr>
      <w:r>
        <w:rPr>
          <w:rFonts w:hint="eastAsia" w:ascii="宋体" w:hAnsi="宋体"/>
          <w:sz w:val="24"/>
          <w:szCs w:val="24"/>
        </w:rPr>
        <w:t>投标人在商务谈判中主动自愿再对其投标报价进行优惠，招标人将以其最终优惠价格作为合同价格签订合同。</w:t>
      </w:r>
    </w:p>
    <w:p w14:paraId="72D4A24B">
      <w:pPr>
        <w:pStyle w:val="17"/>
        <w:keepNext w:val="0"/>
        <w:keepLines w:val="0"/>
        <w:pageBreakBefore w:val="0"/>
        <w:widowControl w:val="0"/>
        <w:numPr>
          <w:ilvl w:val="0"/>
          <w:numId w:val="37"/>
        </w:numPr>
        <w:kinsoku/>
        <w:wordWrap/>
        <w:overflowPunct/>
        <w:topLinePunct w:val="0"/>
        <w:autoSpaceDE/>
        <w:autoSpaceDN/>
        <w:bidi w:val="0"/>
        <w:adjustRightInd/>
        <w:snapToGrid/>
        <w:spacing w:line="360" w:lineRule="auto"/>
        <w:ind w:left="845" w:hanging="845" w:firstLineChars="0"/>
        <w:textAlignment w:val="auto"/>
        <w:rPr>
          <w:rFonts w:ascii="宋体" w:hAnsi="宋体" w:eastAsia="宋体"/>
          <w:sz w:val="24"/>
          <w:szCs w:val="24"/>
        </w:rPr>
      </w:pPr>
      <w:r>
        <w:rPr>
          <w:rFonts w:hint="eastAsia" w:ascii="宋体" w:hAnsi="宋体" w:eastAsia="宋体"/>
          <w:sz w:val="24"/>
          <w:szCs w:val="24"/>
        </w:rPr>
        <w:t>中标人：第一中标候选人即为中标人。</w:t>
      </w:r>
    </w:p>
    <w:p w14:paraId="3D965730">
      <w:pPr>
        <w:pStyle w:val="17"/>
        <w:keepNext w:val="0"/>
        <w:keepLines w:val="0"/>
        <w:pageBreakBefore w:val="0"/>
        <w:widowControl w:val="0"/>
        <w:numPr>
          <w:ilvl w:val="0"/>
          <w:numId w:val="37"/>
        </w:numPr>
        <w:kinsoku/>
        <w:wordWrap/>
        <w:overflowPunct/>
        <w:topLinePunct w:val="0"/>
        <w:autoSpaceDE/>
        <w:autoSpaceDN/>
        <w:bidi w:val="0"/>
        <w:adjustRightInd/>
        <w:snapToGrid/>
        <w:spacing w:line="360" w:lineRule="auto"/>
        <w:ind w:left="845" w:hanging="845" w:firstLineChars="0"/>
        <w:textAlignment w:val="auto"/>
        <w:rPr>
          <w:rFonts w:ascii="宋体" w:hAnsi="宋体" w:eastAsia="宋体"/>
          <w:sz w:val="24"/>
          <w:szCs w:val="24"/>
        </w:rPr>
      </w:pPr>
      <w:r>
        <w:rPr>
          <w:rFonts w:hint="eastAsia" w:ascii="宋体" w:hAnsi="宋体" w:eastAsia="宋体"/>
          <w:sz w:val="24"/>
          <w:szCs w:val="24"/>
        </w:rPr>
        <w:t>中标价：第一中标候选人的投标价即为中标价，替补成功的中标候选人的中标价仍按第一中标候选人的中标价执行。</w:t>
      </w:r>
    </w:p>
    <w:p w14:paraId="1C292A39">
      <w:pPr>
        <w:pStyle w:val="139"/>
        <w:keepNext w:val="0"/>
        <w:keepLines w:val="0"/>
        <w:pageBreakBefore w:val="0"/>
        <w:widowControl w:val="0"/>
        <w:numPr>
          <w:ilvl w:val="0"/>
          <w:numId w:val="37"/>
        </w:numPr>
        <w:kinsoku/>
        <w:wordWrap/>
        <w:overflowPunct/>
        <w:topLinePunct w:val="0"/>
        <w:autoSpaceDE/>
        <w:autoSpaceDN/>
        <w:bidi w:val="0"/>
        <w:adjustRightInd/>
        <w:snapToGrid/>
        <w:spacing w:line="360" w:lineRule="auto"/>
        <w:ind w:left="845" w:hanging="845" w:firstLineChars="0"/>
        <w:textAlignment w:val="auto"/>
        <w:rPr>
          <w:rFonts w:ascii="宋体" w:hAnsi="宋体"/>
          <w:sz w:val="24"/>
          <w:szCs w:val="24"/>
        </w:rPr>
      </w:pPr>
      <w:r>
        <w:rPr>
          <w:rFonts w:hint="eastAsia" w:ascii="宋体" w:hAnsi="宋体"/>
          <w:sz w:val="24"/>
          <w:szCs w:val="24"/>
        </w:rPr>
        <w:t>中标人替补：如果中标人在招标人发出中标通知书后15日内因故放弃中标（包括被废除授标）、因不可抗力提出不能履行合同或招标文件规定应提交履约保证金而在规定期限内未能提交的，或第一中标候选人自动放弃中标权利，则可由第二、第三中标候选人依次替补，前一名替补成功，后一名就不再替补，替补成功的候选人为中标人。</w:t>
      </w:r>
    </w:p>
    <w:p w14:paraId="1BD17C59">
      <w:pPr>
        <w:pStyle w:val="139"/>
        <w:keepNext w:val="0"/>
        <w:keepLines w:val="0"/>
        <w:pageBreakBefore w:val="0"/>
        <w:widowControl w:val="0"/>
        <w:numPr>
          <w:ilvl w:val="0"/>
          <w:numId w:val="37"/>
        </w:numPr>
        <w:kinsoku/>
        <w:wordWrap/>
        <w:overflowPunct/>
        <w:topLinePunct w:val="0"/>
        <w:autoSpaceDE/>
        <w:autoSpaceDN/>
        <w:bidi w:val="0"/>
        <w:adjustRightInd/>
        <w:snapToGrid/>
        <w:spacing w:line="360" w:lineRule="auto"/>
        <w:ind w:left="845" w:hanging="845" w:firstLineChars="0"/>
        <w:textAlignment w:val="auto"/>
        <w:rPr>
          <w:rFonts w:ascii="宋体" w:hAnsi="宋体"/>
          <w:sz w:val="24"/>
          <w:szCs w:val="24"/>
        </w:rPr>
      </w:pPr>
      <w:r>
        <w:rPr>
          <w:rFonts w:hint="eastAsia" w:ascii="宋体" w:hAnsi="宋体"/>
          <w:sz w:val="24"/>
          <w:szCs w:val="24"/>
        </w:rPr>
        <w:t>第一中标候选人自动放弃中标权利的（包括被废除授标），招标人将没收其投标保证金，并按有关规定进行处理。</w:t>
      </w:r>
    </w:p>
    <w:p w14:paraId="1063AC73">
      <w:pPr>
        <w:pStyle w:val="139"/>
        <w:spacing w:line="360" w:lineRule="auto"/>
        <w:ind w:left="851" w:firstLine="0" w:firstLineChars="0"/>
        <w:rPr>
          <w:rFonts w:ascii="宋体" w:hAnsi="宋体"/>
          <w:szCs w:val="21"/>
        </w:rPr>
      </w:pPr>
    </w:p>
    <w:p w14:paraId="75790FB6">
      <w:pPr>
        <w:pStyle w:val="3"/>
        <w:spacing w:before="0" w:after="0" w:line="360" w:lineRule="auto"/>
        <w:jc w:val="center"/>
        <w:rPr>
          <w:rFonts w:ascii="宋体" w:hAnsi="宋体" w:eastAsia="宋体"/>
          <w:sz w:val="30"/>
        </w:rPr>
      </w:pPr>
      <w:bookmarkStart w:id="158" w:name="_Toc363049915"/>
      <w:bookmarkStart w:id="159" w:name="_Toc13310"/>
      <w:bookmarkStart w:id="160" w:name="_Toc421807502"/>
      <w:bookmarkStart w:id="161" w:name="_Toc10307"/>
      <w:bookmarkStart w:id="162" w:name="_Toc4075"/>
      <w:bookmarkStart w:id="163" w:name="_Toc8683"/>
      <w:bookmarkStart w:id="164" w:name="_Toc25936"/>
      <w:bookmarkStart w:id="165" w:name="_Toc19475"/>
      <w:bookmarkStart w:id="166" w:name="_Toc32538"/>
      <w:bookmarkStart w:id="167" w:name="_Toc20685"/>
      <w:bookmarkStart w:id="168" w:name="_Toc497"/>
      <w:bookmarkStart w:id="169" w:name="_Toc2617"/>
      <w:bookmarkStart w:id="170" w:name="_Toc17436"/>
      <w:bookmarkStart w:id="171" w:name="_Toc23884"/>
      <w:bookmarkStart w:id="172" w:name="_Toc6759"/>
      <w:bookmarkStart w:id="173" w:name="_Toc19558"/>
      <w:bookmarkStart w:id="174" w:name="_Toc30101"/>
      <w:bookmarkStart w:id="175" w:name="_Toc1349"/>
      <w:r>
        <w:rPr>
          <w:rFonts w:hint="eastAsia" w:ascii="宋体" w:hAnsi="宋体" w:eastAsia="宋体"/>
          <w:sz w:val="30"/>
        </w:rPr>
        <w:t>六、合同的授予</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4E9DBDB7">
      <w:pPr>
        <w:pStyle w:val="139"/>
        <w:numPr>
          <w:ilvl w:val="0"/>
          <w:numId w:val="29"/>
        </w:numPr>
        <w:spacing w:line="360" w:lineRule="auto"/>
        <w:ind w:left="851" w:hanging="851" w:firstLineChars="0"/>
        <w:rPr>
          <w:rFonts w:ascii="宋体" w:hAnsi="宋体"/>
          <w:b/>
          <w:sz w:val="24"/>
          <w:szCs w:val="24"/>
        </w:rPr>
      </w:pPr>
      <w:r>
        <w:rPr>
          <w:rFonts w:hint="eastAsia" w:ascii="宋体" w:hAnsi="宋体"/>
          <w:b/>
          <w:sz w:val="24"/>
          <w:szCs w:val="24"/>
        </w:rPr>
        <w:t>合同授予和拒绝</w:t>
      </w:r>
    </w:p>
    <w:p w14:paraId="638CE4E4">
      <w:pPr>
        <w:pStyle w:val="139"/>
        <w:numPr>
          <w:ilvl w:val="0"/>
          <w:numId w:val="38"/>
        </w:numPr>
        <w:spacing w:line="360" w:lineRule="auto"/>
        <w:ind w:left="851" w:hanging="851" w:firstLineChars="0"/>
        <w:rPr>
          <w:rFonts w:ascii="宋体" w:hAnsi="宋体"/>
          <w:sz w:val="24"/>
          <w:szCs w:val="24"/>
        </w:rPr>
      </w:pPr>
      <w:r>
        <w:rPr>
          <w:rFonts w:hint="eastAsia" w:ascii="宋体" w:hAnsi="宋体"/>
          <w:sz w:val="24"/>
          <w:szCs w:val="24"/>
        </w:rPr>
        <w:t>本工程的</w:t>
      </w:r>
      <w:r>
        <w:rPr>
          <w:rFonts w:hint="eastAsia" w:ascii="宋体" w:hAnsi="宋体"/>
          <w:sz w:val="24"/>
          <w:szCs w:val="24"/>
          <w:lang w:val="en-US" w:eastAsia="zh-CN"/>
        </w:rPr>
        <w:t>监理</w:t>
      </w:r>
      <w:r>
        <w:rPr>
          <w:rFonts w:hint="eastAsia" w:ascii="宋体" w:hAnsi="宋体"/>
          <w:sz w:val="24"/>
          <w:szCs w:val="24"/>
        </w:rPr>
        <w:t>合同将</w:t>
      </w:r>
      <w:r>
        <w:rPr>
          <w:rFonts w:hint="eastAsia" w:ascii="宋体" w:hAnsi="宋体"/>
          <w:b/>
          <w:bCs/>
          <w:sz w:val="24"/>
          <w:szCs w:val="24"/>
        </w:rPr>
        <w:t>授予</w:t>
      </w:r>
      <w:r>
        <w:rPr>
          <w:rFonts w:hint="eastAsia" w:ascii="宋体" w:hAnsi="宋体"/>
          <w:sz w:val="24"/>
          <w:szCs w:val="24"/>
        </w:rPr>
        <w:t>按本须知第22条所确定的</w:t>
      </w:r>
      <w:r>
        <w:rPr>
          <w:rFonts w:hint="eastAsia" w:ascii="宋体" w:hAnsi="宋体"/>
          <w:b/>
          <w:bCs/>
          <w:sz w:val="24"/>
          <w:szCs w:val="24"/>
        </w:rPr>
        <w:t>中标人</w:t>
      </w:r>
      <w:r>
        <w:rPr>
          <w:rFonts w:hint="eastAsia" w:ascii="宋体" w:hAnsi="宋体"/>
          <w:sz w:val="24"/>
          <w:szCs w:val="24"/>
        </w:rPr>
        <w:t>。</w:t>
      </w:r>
    </w:p>
    <w:p w14:paraId="73133331">
      <w:pPr>
        <w:pStyle w:val="17"/>
        <w:numPr>
          <w:ilvl w:val="0"/>
          <w:numId w:val="38"/>
        </w:numPr>
        <w:spacing w:line="360" w:lineRule="auto"/>
        <w:ind w:left="851" w:hanging="851" w:firstLineChars="0"/>
        <w:rPr>
          <w:rFonts w:ascii="宋体" w:hAnsi="宋体" w:eastAsia="宋体"/>
          <w:sz w:val="24"/>
          <w:szCs w:val="24"/>
        </w:rPr>
      </w:pPr>
      <w:r>
        <w:rPr>
          <w:rFonts w:hint="eastAsia" w:ascii="宋体" w:hAnsi="宋体" w:eastAsia="宋体"/>
          <w:sz w:val="24"/>
          <w:szCs w:val="24"/>
        </w:rPr>
        <w:t>招标人在签订合同前的任何时候，均有权拒绝任何投标人，招标人拒绝上述中标单位后，有权另行确定中标人或重新组织招标。</w:t>
      </w:r>
    </w:p>
    <w:p w14:paraId="31376AE1">
      <w:pPr>
        <w:pStyle w:val="139"/>
        <w:numPr>
          <w:ilvl w:val="0"/>
          <w:numId w:val="29"/>
        </w:numPr>
        <w:spacing w:line="360" w:lineRule="auto"/>
        <w:ind w:left="851" w:hanging="851" w:firstLineChars="0"/>
        <w:rPr>
          <w:rFonts w:ascii="宋体" w:hAnsi="宋体"/>
          <w:b/>
          <w:bCs/>
          <w:sz w:val="24"/>
          <w:szCs w:val="24"/>
        </w:rPr>
      </w:pPr>
      <w:r>
        <w:rPr>
          <w:rFonts w:hint="eastAsia" w:ascii="宋体" w:hAnsi="宋体"/>
          <w:b/>
          <w:bCs/>
          <w:sz w:val="24"/>
          <w:szCs w:val="24"/>
        </w:rPr>
        <w:t>履约保证</w:t>
      </w:r>
    </w:p>
    <w:p w14:paraId="1F03B49C">
      <w:pPr>
        <w:pStyle w:val="162"/>
        <w:pageBreakBefore w:val="0"/>
        <w:kinsoku/>
        <w:wordWrap/>
        <w:overflowPunct/>
        <w:topLinePunct w:val="0"/>
        <w:bidi w:val="0"/>
        <w:spacing w:line="300" w:lineRule="auto"/>
        <w:ind w:left="851" w:firstLine="0" w:firstLineChars="0"/>
        <w:textAlignment w:val="auto"/>
        <w:rPr>
          <w:rFonts w:ascii="宋体" w:hAnsi="宋体"/>
          <w:bCs/>
          <w:color w:val="000000" w:themeColor="text1"/>
          <w:sz w:val="24"/>
          <w:szCs w:val="24"/>
          <w:u w:val="single"/>
          <w14:textFill>
            <w14:solidFill>
              <w14:schemeClr w14:val="tx1"/>
            </w14:solidFill>
          </w14:textFill>
        </w:rPr>
      </w:pPr>
      <w:r>
        <w:rPr>
          <w:rFonts w:hint="eastAsia" w:ascii="宋体" w:hAnsi="宋体"/>
          <w:bCs/>
          <w:color w:val="000000" w:themeColor="text1"/>
          <w:sz w:val="24"/>
          <w:szCs w:val="24"/>
          <w:u w:val="none"/>
          <w14:textFill>
            <w14:solidFill>
              <w14:schemeClr w14:val="tx1"/>
            </w14:solidFill>
          </w14:textFill>
        </w:rPr>
        <w:t>本工程的中标人需向业主提交</w:t>
      </w:r>
      <w:r>
        <w:rPr>
          <w:rFonts w:hint="eastAsia" w:ascii="宋体" w:hAnsi="宋体"/>
          <w:bCs/>
          <w:color w:val="000000" w:themeColor="text1"/>
          <w:sz w:val="24"/>
          <w:szCs w:val="24"/>
          <w:highlight w:val="none"/>
          <w:u w:val="none"/>
          <w14:textFill>
            <w14:solidFill>
              <w14:schemeClr w14:val="tx1"/>
            </w14:solidFill>
          </w14:textFill>
        </w:rPr>
        <w:t>履约保证，其履约保证的方式为</w:t>
      </w:r>
      <w:r>
        <w:rPr>
          <w:rFonts w:hint="eastAsia" w:ascii="宋体" w:hAnsi="宋体"/>
          <w:b/>
          <w:bCs w:val="0"/>
          <w:color w:val="000000" w:themeColor="text1"/>
          <w:sz w:val="24"/>
          <w:szCs w:val="24"/>
          <w:highlight w:val="none"/>
          <w:u w:val="single"/>
          <w14:textFill>
            <w14:solidFill>
              <w14:schemeClr w14:val="tx1"/>
            </w14:solidFill>
          </w14:textFill>
        </w:rPr>
        <w:t>履约</w:t>
      </w:r>
      <w:r>
        <w:rPr>
          <w:rFonts w:hint="eastAsia" w:ascii="宋体" w:hAnsi="宋体"/>
          <w:b/>
          <w:bCs w:val="0"/>
          <w:color w:val="000000" w:themeColor="text1"/>
          <w:sz w:val="24"/>
          <w:szCs w:val="24"/>
          <w:highlight w:val="none"/>
          <w:u w:val="single"/>
          <w:lang w:val="en-US" w:eastAsia="zh-CN"/>
          <w14:textFill>
            <w14:solidFill>
              <w14:schemeClr w14:val="tx1"/>
            </w14:solidFill>
          </w14:textFill>
        </w:rPr>
        <w:t>银行保函</w:t>
      </w:r>
      <w:r>
        <w:rPr>
          <w:rFonts w:hint="eastAsia" w:ascii="宋体" w:hAnsi="宋体"/>
          <w:bCs/>
          <w:color w:val="000000" w:themeColor="text1"/>
          <w:sz w:val="24"/>
          <w:szCs w:val="24"/>
          <w:highlight w:val="none"/>
          <w:u w:val="none"/>
          <w14:textFill>
            <w14:solidFill>
              <w14:schemeClr w14:val="tx1"/>
            </w14:solidFill>
          </w14:textFill>
        </w:rPr>
        <w:t>，金额为中标价的</w:t>
      </w:r>
      <w:r>
        <w:rPr>
          <w:rFonts w:hint="eastAsia" w:ascii="宋体" w:hAnsi="宋体"/>
          <w:b/>
          <w:bCs w:val="0"/>
          <w:color w:val="000000" w:themeColor="text1"/>
          <w:sz w:val="24"/>
          <w:szCs w:val="24"/>
          <w:highlight w:val="none"/>
          <w:u w:val="single"/>
          <w:lang w:val="en-US" w:eastAsia="zh-CN"/>
          <w14:textFill>
            <w14:solidFill>
              <w14:schemeClr w14:val="tx1"/>
            </w14:solidFill>
          </w14:textFill>
        </w:rPr>
        <w:t>10</w:t>
      </w:r>
      <w:r>
        <w:rPr>
          <w:rFonts w:hint="eastAsia" w:ascii="宋体" w:hAnsi="宋体"/>
          <w:b/>
          <w:bCs w:val="0"/>
          <w:color w:val="000000" w:themeColor="text1"/>
          <w:sz w:val="24"/>
          <w:szCs w:val="24"/>
          <w:highlight w:val="none"/>
          <w:u w:val="single"/>
          <w14:textFill>
            <w14:solidFill>
              <w14:schemeClr w14:val="tx1"/>
            </w14:solidFill>
          </w14:textFill>
        </w:rPr>
        <w:t>%</w:t>
      </w:r>
      <w:r>
        <w:rPr>
          <w:rFonts w:hint="eastAsia" w:ascii="宋体" w:hAnsi="宋体"/>
          <w:bCs/>
          <w:color w:val="000000" w:themeColor="text1"/>
          <w:sz w:val="24"/>
          <w:szCs w:val="24"/>
          <w:highlight w:val="none"/>
          <w:u w:val="none"/>
          <w14:textFill>
            <w14:solidFill>
              <w14:schemeClr w14:val="tx1"/>
            </w14:solidFill>
          </w14:textFill>
        </w:rPr>
        <w:t>（不含暂估金额）。</w:t>
      </w:r>
    </w:p>
    <w:p w14:paraId="2B9216D9">
      <w:pPr>
        <w:pStyle w:val="139"/>
        <w:numPr>
          <w:ilvl w:val="0"/>
          <w:numId w:val="29"/>
        </w:numPr>
        <w:spacing w:line="360" w:lineRule="auto"/>
        <w:ind w:left="851" w:hanging="851" w:firstLineChars="0"/>
        <w:rPr>
          <w:rFonts w:ascii="宋体" w:hAnsi="宋体"/>
          <w:b/>
          <w:bCs/>
          <w:sz w:val="24"/>
          <w:szCs w:val="24"/>
        </w:rPr>
      </w:pPr>
      <w:r>
        <w:rPr>
          <w:rFonts w:hint="eastAsia" w:ascii="宋体" w:hAnsi="宋体"/>
          <w:b/>
          <w:bCs/>
          <w:sz w:val="24"/>
          <w:szCs w:val="24"/>
        </w:rPr>
        <w:t>合同协议书（</w:t>
      </w:r>
      <w:r>
        <w:rPr>
          <w:rFonts w:hint="eastAsia" w:ascii="宋体" w:hAnsi="宋体"/>
          <w:b/>
          <w:bCs/>
          <w:sz w:val="24"/>
          <w:szCs w:val="24"/>
          <w:lang w:val="en-US" w:eastAsia="zh-CN"/>
        </w:rPr>
        <w:t>监理</w:t>
      </w:r>
      <w:r>
        <w:rPr>
          <w:rFonts w:hint="eastAsia" w:ascii="宋体" w:hAnsi="宋体"/>
          <w:b/>
          <w:bCs/>
          <w:sz w:val="24"/>
          <w:szCs w:val="24"/>
        </w:rPr>
        <w:t>合同）的签订</w:t>
      </w:r>
    </w:p>
    <w:p w14:paraId="71689C13">
      <w:pPr>
        <w:spacing w:line="360" w:lineRule="auto"/>
        <w:ind w:left="836" w:leftChars="398"/>
        <w:rPr>
          <w:rFonts w:ascii="宋体" w:hAnsi="宋体"/>
          <w:sz w:val="24"/>
          <w:szCs w:val="24"/>
        </w:rPr>
      </w:pPr>
      <w:r>
        <w:rPr>
          <w:rFonts w:hint="eastAsia" w:ascii="宋体" w:hAnsi="宋体"/>
          <w:sz w:val="24"/>
          <w:szCs w:val="24"/>
        </w:rPr>
        <w:t>在招标人宣布中标人后，中标人应及时与招标</w:t>
      </w:r>
      <w:r>
        <w:rPr>
          <w:rFonts w:hint="eastAsia" w:ascii="宋体" w:hAnsi="宋体"/>
          <w:sz w:val="24"/>
          <w:szCs w:val="24"/>
          <w:lang w:val="en-US" w:eastAsia="zh-CN"/>
        </w:rPr>
        <w:t>人</w:t>
      </w:r>
      <w:r>
        <w:rPr>
          <w:rFonts w:hint="eastAsia" w:ascii="宋体" w:hAnsi="宋体"/>
          <w:sz w:val="24"/>
          <w:szCs w:val="24"/>
        </w:rPr>
        <w:t>签订</w:t>
      </w:r>
      <w:r>
        <w:rPr>
          <w:rFonts w:hint="eastAsia" w:ascii="宋体" w:hAnsi="宋体"/>
          <w:sz w:val="24"/>
          <w:szCs w:val="24"/>
          <w:lang w:val="en-US" w:eastAsia="zh-CN"/>
        </w:rPr>
        <w:t>监理</w:t>
      </w:r>
      <w:r>
        <w:rPr>
          <w:rFonts w:hint="eastAsia" w:ascii="宋体" w:hAnsi="宋体"/>
          <w:sz w:val="24"/>
          <w:szCs w:val="24"/>
        </w:rPr>
        <w:t>合同，</w:t>
      </w:r>
      <w:r>
        <w:rPr>
          <w:rFonts w:hint="eastAsia" w:ascii="宋体" w:hAnsi="宋体"/>
          <w:sz w:val="24"/>
          <w:szCs w:val="24"/>
          <w:lang w:val="en-US" w:eastAsia="zh-CN"/>
        </w:rPr>
        <w:t>监理</w:t>
      </w:r>
      <w:r>
        <w:rPr>
          <w:rFonts w:hint="eastAsia" w:ascii="宋体" w:hAnsi="宋体"/>
          <w:sz w:val="24"/>
          <w:szCs w:val="24"/>
        </w:rPr>
        <w:t>合同的条款按招标文件附件“</w:t>
      </w:r>
      <w:r>
        <w:rPr>
          <w:rFonts w:hint="eastAsia" w:ascii="宋体" w:hAnsi="宋体"/>
          <w:sz w:val="24"/>
          <w:szCs w:val="24"/>
          <w:lang w:val="en-US" w:eastAsia="zh-CN"/>
        </w:rPr>
        <w:t>监理服务</w:t>
      </w:r>
      <w:r>
        <w:rPr>
          <w:rFonts w:hint="eastAsia" w:ascii="宋体" w:hAnsi="宋体"/>
          <w:sz w:val="24"/>
          <w:szCs w:val="24"/>
        </w:rPr>
        <w:t>合同”规定执行。</w:t>
      </w:r>
    </w:p>
    <w:p w14:paraId="794EEA6E">
      <w:pPr>
        <w:widowControl/>
        <w:spacing w:line="360" w:lineRule="auto"/>
        <w:jc w:val="left"/>
        <w:rPr>
          <w:rFonts w:ascii="宋体" w:hAnsi="宋体"/>
          <w:szCs w:val="21"/>
        </w:rPr>
      </w:pPr>
      <w:r>
        <w:rPr>
          <w:rFonts w:ascii="宋体" w:hAnsi="宋体"/>
          <w:szCs w:val="21"/>
        </w:rPr>
        <w:br w:type="page"/>
      </w:r>
    </w:p>
    <w:p w14:paraId="5BA0261A">
      <w:pPr>
        <w:pStyle w:val="3"/>
        <w:pageBreakBefore w:val="0"/>
        <w:kinsoku/>
        <w:wordWrap/>
        <w:overflowPunct/>
        <w:topLinePunct w:val="0"/>
        <w:bidi w:val="0"/>
        <w:snapToGrid/>
        <w:spacing w:before="0" w:after="0" w:line="360" w:lineRule="auto"/>
        <w:ind w:right="0" w:rightChars="0"/>
        <w:jc w:val="center"/>
        <w:rPr>
          <w:rFonts w:ascii="宋体" w:hAnsi="宋体" w:eastAsia="宋体"/>
        </w:rPr>
      </w:pPr>
      <w:bookmarkStart w:id="176" w:name="_Toc83196649"/>
      <w:bookmarkStart w:id="177" w:name="_Toc22359"/>
      <w:bookmarkStart w:id="178" w:name="_Toc106690291"/>
      <w:bookmarkStart w:id="179" w:name="_Toc23469"/>
      <w:bookmarkStart w:id="180" w:name="_Toc9902"/>
      <w:bookmarkStart w:id="181" w:name="_Toc350497764"/>
      <w:bookmarkStart w:id="182" w:name="_Toc26473"/>
      <w:bookmarkStart w:id="183" w:name="_Toc10166"/>
      <w:bookmarkStart w:id="184" w:name="_Toc18543"/>
      <w:bookmarkStart w:id="185" w:name="_Toc3781"/>
      <w:bookmarkStart w:id="186" w:name="_Toc30980"/>
      <w:bookmarkStart w:id="187" w:name="_Toc30558"/>
      <w:bookmarkStart w:id="188" w:name="_Toc9674"/>
      <w:bookmarkStart w:id="189" w:name="_Toc6524"/>
      <w:bookmarkStart w:id="190" w:name="_Toc28142"/>
      <w:bookmarkStart w:id="191" w:name="_Toc328555482"/>
      <w:bookmarkStart w:id="192" w:name="_Toc29355"/>
      <w:bookmarkStart w:id="193" w:name="_Toc7766"/>
      <w:bookmarkStart w:id="194" w:name="_Toc421807503"/>
      <w:bookmarkStart w:id="195" w:name="_Toc25023"/>
      <w:bookmarkStart w:id="196" w:name="_Toc15468"/>
      <w:bookmarkStart w:id="197" w:name="OLE_LINK7"/>
      <w:r>
        <w:rPr>
          <w:rFonts w:hint="eastAsia" w:ascii="宋体" w:hAnsi="宋体" w:eastAsia="宋体"/>
        </w:rPr>
        <w:t>第二章 投标文件格式</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1558EE90">
      <w:pPr>
        <w:pStyle w:val="5"/>
        <w:pageBreakBefore w:val="0"/>
        <w:widowControl/>
        <w:kinsoku/>
        <w:wordWrap/>
        <w:overflowPunct/>
        <w:topLinePunct w:val="0"/>
        <w:bidi w:val="0"/>
        <w:snapToGrid/>
        <w:spacing w:before="0" w:after="0" w:line="360" w:lineRule="auto"/>
        <w:ind w:right="0" w:rightChars="0"/>
        <w:jc w:val="center"/>
        <w:rPr>
          <w:rFonts w:ascii="宋体" w:hAnsi="宋体" w:eastAsia="宋体"/>
          <w:kern w:val="0"/>
        </w:rPr>
      </w:pPr>
      <w:bookmarkStart w:id="198" w:name="_Toc350497765"/>
      <w:bookmarkStart w:id="199" w:name="_Toc20329"/>
      <w:bookmarkStart w:id="200" w:name="_Toc28692"/>
      <w:bookmarkStart w:id="201" w:name="_Toc27424"/>
      <w:bookmarkStart w:id="202" w:name="_Toc421807504"/>
      <w:bookmarkStart w:id="203" w:name="_Toc11919"/>
      <w:bookmarkStart w:id="204" w:name="_Toc27034"/>
      <w:bookmarkStart w:id="205" w:name="_Toc4376"/>
      <w:bookmarkStart w:id="206" w:name="_Toc27845"/>
      <w:bookmarkStart w:id="207" w:name="_Toc26763"/>
      <w:bookmarkStart w:id="208" w:name="_Toc14044"/>
      <w:bookmarkStart w:id="209" w:name="_Toc12580"/>
      <w:bookmarkStart w:id="210" w:name="_Toc29419"/>
      <w:bookmarkStart w:id="211" w:name="_Toc22634"/>
      <w:bookmarkStart w:id="212" w:name="_Toc8291"/>
      <w:bookmarkStart w:id="213" w:name="_Toc13481"/>
      <w:bookmarkStart w:id="214" w:name="_Toc26746"/>
      <w:r>
        <w:rPr>
          <w:rFonts w:hint="eastAsia" w:ascii="宋体" w:hAnsi="宋体" w:eastAsia="宋体"/>
          <w:kern w:val="0"/>
        </w:rPr>
        <w:t>一、投标函</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0B064526">
      <w:pPr>
        <w:pageBreakBefore w:val="0"/>
        <w:widowControl/>
        <w:kinsoku/>
        <w:wordWrap/>
        <w:overflowPunct/>
        <w:topLinePunct w:val="0"/>
        <w:bidi w:val="0"/>
        <w:spacing w:line="360" w:lineRule="auto"/>
        <w:jc w:val="left"/>
        <w:textAlignment w:val="auto"/>
        <w:rPr>
          <w:rFonts w:hint="default" w:ascii="宋体" w:hAnsi="宋体" w:eastAsia="宋体"/>
          <w:b w:val="0"/>
          <w:bCs/>
          <w:color w:val="000000" w:themeColor="text1"/>
          <w:sz w:val="24"/>
          <w:szCs w:val="24"/>
          <w:u w:val="single"/>
          <w:lang w:val="en-US" w:eastAsia="zh-CN"/>
          <w14:textFill>
            <w14:solidFill>
              <w14:schemeClr w14:val="tx1"/>
            </w14:solidFill>
          </w14:textFill>
        </w:rPr>
      </w:pPr>
      <w:r>
        <w:rPr>
          <w:rFonts w:hint="eastAsia" w:ascii="宋体" w:hAnsi="宋体"/>
          <w:b w:val="0"/>
          <w:bCs/>
          <w:color w:val="000000" w:themeColor="text1"/>
          <w:sz w:val="24"/>
          <w:szCs w:val="24"/>
          <w14:textFill>
            <w14:solidFill>
              <w14:schemeClr w14:val="tx1"/>
            </w14:solidFill>
          </w14:textFill>
        </w:rPr>
        <w:t>致招标人：</w:t>
      </w:r>
      <w:r>
        <w:rPr>
          <w:rFonts w:hint="eastAsia" w:ascii="宋体" w:hAnsi="宋体"/>
          <w:b w:val="0"/>
          <w:bCs/>
          <w:color w:val="000000" w:themeColor="text1"/>
          <w:sz w:val="24"/>
          <w:szCs w:val="24"/>
          <w:lang w:val="en-US" w:eastAsia="zh-CN"/>
          <w14:textFill>
            <w14:solidFill>
              <w14:schemeClr w14:val="tx1"/>
            </w14:solidFill>
          </w14:textFill>
        </w:rPr>
        <w:t>重庆海联职业技术学院</w:t>
      </w:r>
    </w:p>
    <w:p w14:paraId="29B82955">
      <w:pPr>
        <w:keepNext w:val="0"/>
        <w:keepLines w:val="0"/>
        <w:pageBreakBefore w:val="0"/>
        <w:widowControl/>
        <w:numPr>
          <w:ilvl w:val="0"/>
          <w:numId w:val="39"/>
        </w:numPr>
        <w:kinsoku/>
        <w:wordWrap/>
        <w:overflowPunct/>
        <w:topLinePunct w:val="0"/>
        <w:autoSpaceDE/>
        <w:autoSpaceDN/>
        <w:bidi w:val="0"/>
        <w:adjustRightInd/>
        <w:snapToGrid/>
        <w:spacing w:line="360" w:lineRule="auto"/>
        <w:ind w:left="0" w:leftChars="0" w:firstLine="420" w:firstLineChars="0"/>
        <w:jc w:val="left"/>
        <w:textAlignment w:val="auto"/>
        <w:rPr>
          <w:rFonts w:ascii="宋体" w:hAnsi="宋体"/>
          <w:b w:val="0"/>
          <w:bCs/>
          <w:color w:val="000000" w:themeColor="text1"/>
          <w:sz w:val="24"/>
          <w:szCs w:val="24"/>
          <w14:textFill>
            <w14:solidFill>
              <w14:schemeClr w14:val="tx1"/>
            </w14:solidFill>
          </w14:textFill>
        </w:rPr>
      </w:pPr>
      <w:r>
        <w:rPr>
          <w:rFonts w:hint="eastAsia" w:ascii="宋体" w:hAnsi="宋体"/>
          <w:b w:val="0"/>
          <w:bCs/>
          <w:color w:val="000000" w:themeColor="text1"/>
          <w:sz w:val="24"/>
          <w:szCs w:val="24"/>
          <w14:textFill>
            <w14:solidFill>
              <w14:schemeClr w14:val="tx1"/>
            </w14:solidFill>
          </w14:textFill>
        </w:rPr>
        <w:t>根据你方的招标项目：</w:t>
      </w:r>
      <w:r>
        <w:rPr>
          <w:rFonts w:hint="eastAsia" w:ascii="宋体" w:hAnsi="宋体"/>
          <w:b w:val="0"/>
          <w:bCs/>
          <w:color w:val="000000" w:themeColor="text1"/>
          <w:sz w:val="24"/>
          <w:szCs w:val="24"/>
          <w:u w:val="single"/>
          <w:lang w:val="en-US" w:eastAsia="zh-CN"/>
          <w14:textFill>
            <w14:solidFill>
              <w14:schemeClr w14:val="tx1"/>
            </w14:solidFill>
          </w14:textFill>
        </w:rPr>
        <w:t xml:space="preserve">重庆海联职业技术学院两江校区项目监理咨询服务 </w:t>
      </w:r>
      <w:r>
        <w:rPr>
          <w:rFonts w:hint="eastAsia" w:ascii="宋体" w:hAnsi="宋体"/>
          <w:b w:val="0"/>
          <w:bCs/>
          <w:color w:val="000000" w:themeColor="text1"/>
          <w:sz w:val="24"/>
          <w:szCs w:val="24"/>
          <w14:textFill>
            <w14:solidFill>
              <w14:schemeClr w14:val="tx1"/>
            </w14:solidFill>
          </w14:textFill>
        </w:rPr>
        <w:t>的招标文件，遵照《中华人民共和国</w:t>
      </w:r>
      <w:r>
        <w:rPr>
          <w:rFonts w:hint="eastAsia" w:ascii="宋体" w:hAnsi="宋体"/>
          <w:b w:val="0"/>
          <w:bCs/>
          <w:color w:val="000000" w:themeColor="text1"/>
          <w:sz w:val="24"/>
          <w:szCs w:val="24"/>
          <w:lang w:val="en-US" w:eastAsia="zh-CN"/>
          <w14:textFill>
            <w14:solidFill>
              <w14:schemeClr w14:val="tx1"/>
            </w14:solidFill>
          </w14:textFill>
        </w:rPr>
        <w:t>民法典</w:t>
      </w:r>
      <w:r>
        <w:rPr>
          <w:rFonts w:hint="eastAsia" w:ascii="宋体" w:hAnsi="宋体"/>
          <w:b w:val="0"/>
          <w:bCs/>
          <w:color w:val="000000" w:themeColor="text1"/>
          <w:sz w:val="24"/>
          <w:szCs w:val="24"/>
          <w14:textFill>
            <w14:solidFill>
              <w14:schemeClr w14:val="tx1"/>
            </w14:solidFill>
          </w14:textFill>
        </w:rPr>
        <w:t>》等有关法律法规的规定，经踏勘现场和研究了招标文件及其附件（包括澄清或者修改文件）、合同条款、项目建设标准和清单及有关文件，在充分理解和完全同意本招标文件所附的全部合同条款的基础上，我方作此投标报价。</w:t>
      </w:r>
    </w:p>
    <w:p w14:paraId="719021F7">
      <w:pPr>
        <w:pageBreakBefore w:val="0"/>
        <w:kinsoku/>
        <w:wordWrap/>
        <w:overflowPunct/>
        <w:topLinePunct w:val="0"/>
        <w:bidi w:val="0"/>
        <w:spacing w:line="360" w:lineRule="auto"/>
        <w:ind w:firstLine="573"/>
        <w:textAlignment w:val="auto"/>
        <w:rPr>
          <w:rFonts w:hint="eastAsia" w:ascii="宋体" w:hAnsi="宋体"/>
          <w:b w:val="0"/>
          <w:bCs/>
          <w:color w:val="000000" w:themeColor="text1"/>
          <w:sz w:val="24"/>
          <w:szCs w:val="24"/>
          <w14:textFill>
            <w14:solidFill>
              <w14:schemeClr w14:val="tx1"/>
            </w14:solidFill>
          </w14:textFill>
        </w:rPr>
      </w:pPr>
      <w:r>
        <w:rPr>
          <w:rFonts w:hint="eastAsia" w:ascii="宋体" w:hAnsi="宋体"/>
          <w:b w:val="0"/>
          <w:bCs/>
          <w:color w:val="000000" w:themeColor="text1"/>
          <w:sz w:val="24"/>
          <w:szCs w:val="24"/>
          <w14:textFill>
            <w14:solidFill>
              <w14:schemeClr w14:val="tx1"/>
            </w14:solidFill>
          </w14:textFill>
        </w:rPr>
        <w:t>投标总价：小写</w:t>
      </w:r>
      <w:r>
        <w:rPr>
          <w:rFonts w:ascii="宋体" w:hAnsi="宋体"/>
          <w:b w:val="0"/>
          <w:bCs/>
          <w:color w:val="000000" w:themeColor="text1"/>
          <w:sz w:val="24"/>
          <w:szCs w:val="24"/>
          <w14:textFill>
            <w14:solidFill>
              <w14:schemeClr w14:val="tx1"/>
            </w14:solidFill>
          </w14:textFill>
        </w:rPr>
        <w:t>人民币</w:t>
      </w:r>
      <w:r>
        <w:rPr>
          <w:rFonts w:hint="eastAsia" w:ascii="宋体" w:hAnsi="宋体"/>
          <w:b w:val="0"/>
          <w:bCs/>
          <w:color w:val="000000" w:themeColor="text1"/>
          <w:sz w:val="24"/>
          <w:szCs w:val="24"/>
          <w:u w:val="single"/>
          <w14:textFill>
            <w14:solidFill>
              <w14:schemeClr w14:val="tx1"/>
            </w14:solidFill>
          </w14:textFill>
        </w:rPr>
        <w:t xml:space="preserve">              </w:t>
      </w:r>
      <w:r>
        <w:rPr>
          <w:rFonts w:ascii="宋体" w:hAnsi="宋体"/>
          <w:b w:val="0"/>
          <w:bCs/>
          <w:color w:val="000000" w:themeColor="text1"/>
          <w:sz w:val="24"/>
          <w:szCs w:val="24"/>
          <w14:textFill>
            <w14:solidFill>
              <w14:schemeClr w14:val="tx1"/>
            </w14:solidFill>
          </w14:textFill>
        </w:rPr>
        <w:t>元</w:t>
      </w:r>
      <w:r>
        <w:rPr>
          <w:rFonts w:hint="eastAsia" w:ascii="宋体" w:hAnsi="宋体"/>
          <w:b w:val="0"/>
          <w:bCs/>
          <w:color w:val="000000" w:themeColor="text1"/>
          <w:sz w:val="24"/>
          <w:szCs w:val="24"/>
          <w14:textFill>
            <w14:solidFill>
              <w14:schemeClr w14:val="tx1"/>
            </w14:solidFill>
          </w14:textFill>
        </w:rPr>
        <w:t>（</w:t>
      </w:r>
      <w:r>
        <w:rPr>
          <w:rFonts w:ascii="宋体" w:hAnsi="宋体"/>
          <w:b w:val="0"/>
          <w:bCs/>
          <w:color w:val="000000" w:themeColor="text1"/>
          <w:sz w:val="24"/>
          <w:szCs w:val="24"/>
          <w14:textFill>
            <w14:solidFill>
              <w14:schemeClr w14:val="tx1"/>
            </w14:solidFill>
          </w14:textFill>
        </w:rPr>
        <w:t>大写</w:t>
      </w:r>
      <w:r>
        <w:rPr>
          <w:rFonts w:hint="eastAsia" w:ascii="宋体" w:hAnsi="宋体"/>
          <w:b w:val="0"/>
          <w:bCs/>
          <w:color w:val="000000" w:themeColor="text1"/>
          <w:sz w:val="24"/>
          <w:szCs w:val="24"/>
          <w14:textFill>
            <w14:solidFill>
              <w14:schemeClr w14:val="tx1"/>
            </w14:solidFill>
          </w14:textFill>
        </w:rPr>
        <w:t>人民币</w:t>
      </w:r>
      <w:r>
        <w:rPr>
          <w:rFonts w:hint="eastAsia" w:ascii="宋体" w:hAnsi="宋体"/>
          <w:b w:val="0"/>
          <w:bCs/>
          <w:color w:val="000000" w:themeColor="text1"/>
          <w:sz w:val="24"/>
          <w:szCs w:val="24"/>
          <w:u w:val="single"/>
          <w14:textFill>
            <w14:solidFill>
              <w14:schemeClr w14:val="tx1"/>
            </w14:solidFill>
          </w14:textFill>
        </w:rPr>
        <w:t xml:space="preserve">                 </w:t>
      </w:r>
      <w:r>
        <w:rPr>
          <w:rFonts w:ascii="宋体" w:hAnsi="宋体"/>
          <w:b w:val="0"/>
          <w:bCs/>
          <w:color w:val="000000" w:themeColor="text1"/>
          <w:sz w:val="24"/>
          <w:szCs w:val="24"/>
          <w14:textFill>
            <w14:solidFill>
              <w14:schemeClr w14:val="tx1"/>
            </w14:solidFill>
          </w14:textFill>
        </w:rPr>
        <w:t>元</w:t>
      </w:r>
      <w:r>
        <w:rPr>
          <w:rFonts w:hint="eastAsia" w:ascii="宋体" w:hAnsi="宋体"/>
          <w:b w:val="0"/>
          <w:bCs/>
          <w:color w:val="000000" w:themeColor="text1"/>
          <w:sz w:val="24"/>
          <w:szCs w:val="24"/>
          <w14:textFill>
            <w14:solidFill>
              <w14:schemeClr w14:val="tx1"/>
            </w14:solidFill>
          </w14:textFill>
        </w:rPr>
        <w:t>）。</w:t>
      </w:r>
    </w:p>
    <w:p w14:paraId="21635F7F">
      <w:pPr>
        <w:pageBreakBefore w:val="0"/>
        <w:kinsoku/>
        <w:wordWrap/>
        <w:overflowPunct/>
        <w:topLinePunct w:val="0"/>
        <w:bidi w:val="0"/>
        <w:spacing w:line="360" w:lineRule="auto"/>
        <w:ind w:firstLine="573"/>
        <w:textAlignment w:val="auto"/>
        <w:rPr>
          <w:rFonts w:hint="eastAsia" w:ascii="宋体" w:hAnsi="宋体"/>
          <w:b w:val="0"/>
          <w:bCs/>
          <w:color w:val="000000" w:themeColor="text1"/>
          <w:sz w:val="24"/>
          <w:szCs w:val="24"/>
          <w14:textFill>
            <w14:solidFill>
              <w14:schemeClr w14:val="tx1"/>
            </w14:solidFill>
          </w14:textFill>
        </w:rPr>
      </w:pPr>
      <w:r>
        <w:rPr>
          <w:rFonts w:hint="eastAsia" w:ascii="宋体" w:hAnsi="宋体"/>
          <w:b w:val="0"/>
          <w:bCs/>
          <w:color w:val="000000" w:themeColor="text1"/>
          <w:sz w:val="24"/>
          <w:szCs w:val="24"/>
          <w:lang w:val="en-US" w:eastAsia="zh-CN"/>
          <w14:textFill>
            <w14:solidFill>
              <w14:schemeClr w14:val="tx1"/>
            </w14:solidFill>
          </w14:textFill>
        </w:rPr>
        <w:t>其中不含税总价：</w:t>
      </w:r>
      <w:r>
        <w:rPr>
          <w:rFonts w:hint="eastAsia" w:ascii="宋体" w:hAnsi="宋体"/>
          <w:b w:val="0"/>
          <w:bCs/>
          <w:color w:val="000000" w:themeColor="text1"/>
          <w:sz w:val="24"/>
          <w:szCs w:val="24"/>
          <w14:textFill>
            <w14:solidFill>
              <w14:schemeClr w14:val="tx1"/>
            </w14:solidFill>
          </w14:textFill>
        </w:rPr>
        <w:t>小写</w:t>
      </w:r>
      <w:r>
        <w:rPr>
          <w:rFonts w:ascii="宋体" w:hAnsi="宋体"/>
          <w:b w:val="0"/>
          <w:bCs/>
          <w:color w:val="000000" w:themeColor="text1"/>
          <w:sz w:val="24"/>
          <w:szCs w:val="24"/>
          <w14:textFill>
            <w14:solidFill>
              <w14:schemeClr w14:val="tx1"/>
            </w14:solidFill>
          </w14:textFill>
        </w:rPr>
        <w:t>人民币</w:t>
      </w:r>
      <w:r>
        <w:rPr>
          <w:rFonts w:hint="eastAsia" w:ascii="宋体" w:hAnsi="宋体"/>
          <w:b w:val="0"/>
          <w:bCs/>
          <w:color w:val="000000" w:themeColor="text1"/>
          <w:sz w:val="24"/>
          <w:szCs w:val="24"/>
          <w:u w:val="single"/>
          <w14:textFill>
            <w14:solidFill>
              <w14:schemeClr w14:val="tx1"/>
            </w14:solidFill>
          </w14:textFill>
        </w:rPr>
        <w:t xml:space="preserve">            </w:t>
      </w:r>
      <w:r>
        <w:rPr>
          <w:rFonts w:ascii="宋体" w:hAnsi="宋体"/>
          <w:b w:val="0"/>
          <w:bCs/>
          <w:color w:val="000000" w:themeColor="text1"/>
          <w:sz w:val="24"/>
          <w:szCs w:val="24"/>
          <w14:textFill>
            <w14:solidFill>
              <w14:schemeClr w14:val="tx1"/>
            </w14:solidFill>
          </w14:textFill>
        </w:rPr>
        <w:t>元</w:t>
      </w:r>
      <w:r>
        <w:rPr>
          <w:rFonts w:hint="eastAsia" w:ascii="宋体" w:hAnsi="宋体"/>
          <w:b w:val="0"/>
          <w:bCs/>
          <w:color w:val="000000" w:themeColor="text1"/>
          <w:sz w:val="24"/>
          <w:szCs w:val="24"/>
          <w14:textFill>
            <w14:solidFill>
              <w14:schemeClr w14:val="tx1"/>
            </w14:solidFill>
          </w14:textFill>
        </w:rPr>
        <w:t>（</w:t>
      </w:r>
      <w:r>
        <w:rPr>
          <w:rFonts w:ascii="宋体" w:hAnsi="宋体"/>
          <w:b w:val="0"/>
          <w:bCs/>
          <w:color w:val="000000" w:themeColor="text1"/>
          <w:sz w:val="24"/>
          <w:szCs w:val="24"/>
          <w14:textFill>
            <w14:solidFill>
              <w14:schemeClr w14:val="tx1"/>
            </w14:solidFill>
          </w14:textFill>
        </w:rPr>
        <w:t>大写</w:t>
      </w:r>
      <w:r>
        <w:rPr>
          <w:rFonts w:hint="eastAsia" w:ascii="宋体" w:hAnsi="宋体"/>
          <w:b w:val="0"/>
          <w:bCs/>
          <w:color w:val="000000" w:themeColor="text1"/>
          <w:sz w:val="24"/>
          <w:szCs w:val="24"/>
          <w14:textFill>
            <w14:solidFill>
              <w14:schemeClr w14:val="tx1"/>
            </w14:solidFill>
          </w14:textFill>
        </w:rPr>
        <w:t>人民币</w:t>
      </w:r>
      <w:r>
        <w:rPr>
          <w:rFonts w:hint="eastAsia" w:ascii="宋体" w:hAnsi="宋体"/>
          <w:b w:val="0"/>
          <w:bCs/>
          <w:color w:val="000000" w:themeColor="text1"/>
          <w:sz w:val="24"/>
          <w:szCs w:val="24"/>
          <w:u w:val="single"/>
          <w14:textFill>
            <w14:solidFill>
              <w14:schemeClr w14:val="tx1"/>
            </w14:solidFill>
          </w14:textFill>
        </w:rPr>
        <w:t xml:space="preserve">             </w:t>
      </w:r>
      <w:r>
        <w:rPr>
          <w:rFonts w:ascii="宋体" w:hAnsi="宋体"/>
          <w:b w:val="0"/>
          <w:bCs/>
          <w:color w:val="000000" w:themeColor="text1"/>
          <w:sz w:val="24"/>
          <w:szCs w:val="24"/>
          <w14:textFill>
            <w14:solidFill>
              <w14:schemeClr w14:val="tx1"/>
            </w14:solidFill>
          </w14:textFill>
        </w:rPr>
        <w:t>元</w:t>
      </w:r>
      <w:r>
        <w:rPr>
          <w:rFonts w:hint="eastAsia" w:ascii="宋体" w:hAnsi="宋体"/>
          <w:b w:val="0"/>
          <w:bCs/>
          <w:color w:val="000000" w:themeColor="text1"/>
          <w:sz w:val="24"/>
          <w:szCs w:val="24"/>
          <w14:textFill>
            <w14:solidFill>
              <w14:schemeClr w14:val="tx1"/>
            </w14:solidFill>
          </w14:textFill>
        </w:rPr>
        <w:t>）。</w:t>
      </w:r>
    </w:p>
    <w:p w14:paraId="462344F6">
      <w:pPr>
        <w:pageBreakBefore w:val="0"/>
        <w:kinsoku/>
        <w:wordWrap/>
        <w:overflowPunct/>
        <w:topLinePunct w:val="0"/>
        <w:bidi w:val="0"/>
        <w:spacing w:line="360" w:lineRule="auto"/>
        <w:ind w:firstLine="573"/>
        <w:textAlignment w:val="auto"/>
        <w:rPr>
          <w:rFonts w:hint="eastAsia" w:ascii="宋体" w:hAnsi="宋体" w:eastAsia="宋体"/>
          <w:b w:val="0"/>
          <w:bCs/>
          <w:color w:val="000000" w:themeColor="text1"/>
          <w:sz w:val="24"/>
          <w:szCs w:val="24"/>
          <w:lang w:val="en-US" w:eastAsia="zh-CN"/>
          <w14:textFill>
            <w14:solidFill>
              <w14:schemeClr w14:val="tx1"/>
            </w14:solidFill>
          </w14:textFill>
        </w:rPr>
      </w:pPr>
      <w:r>
        <w:rPr>
          <w:rFonts w:hint="eastAsia" w:ascii="宋体" w:hAnsi="宋体"/>
          <w:b w:val="0"/>
          <w:bCs/>
          <w:color w:val="000000" w:themeColor="text1"/>
          <w:sz w:val="24"/>
          <w:szCs w:val="24"/>
          <w:lang w:val="en-US" w:eastAsia="zh-CN"/>
          <w14:textFill>
            <w14:solidFill>
              <w14:schemeClr w14:val="tx1"/>
            </w14:solidFill>
          </w14:textFill>
        </w:rPr>
        <w:t>税金：</w:t>
      </w:r>
      <w:r>
        <w:rPr>
          <w:rFonts w:hint="eastAsia" w:ascii="宋体" w:hAnsi="宋体"/>
          <w:b w:val="0"/>
          <w:bCs/>
          <w:color w:val="000000" w:themeColor="text1"/>
          <w:sz w:val="24"/>
          <w:szCs w:val="24"/>
          <w14:textFill>
            <w14:solidFill>
              <w14:schemeClr w14:val="tx1"/>
            </w14:solidFill>
          </w14:textFill>
        </w:rPr>
        <w:t>小写</w:t>
      </w:r>
      <w:r>
        <w:rPr>
          <w:rFonts w:ascii="宋体" w:hAnsi="宋体"/>
          <w:b w:val="0"/>
          <w:bCs/>
          <w:color w:val="000000" w:themeColor="text1"/>
          <w:sz w:val="24"/>
          <w:szCs w:val="24"/>
          <w14:textFill>
            <w14:solidFill>
              <w14:schemeClr w14:val="tx1"/>
            </w14:solidFill>
          </w14:textFill>
        </w:rPr>
        <w:t>人民币</w:t>
      </w:r>
      <w:r>
        <w:rPr>
          <w:rFonts w:hint="eastAsia" w:ascii="宋体" w:hAnsi="宋体"/>
          <w:b w:val="0"/>
          <w:bCs/>
          <w:color w:val="000000" w:themeColor="text1"/>
          <w:sz w:val="24"/>
          <w:szCs w:val="24"/>
          <w:u w:val="single"/>
          <w14:textFill>
            <w14:solidFill>
              <w14:schemeClr w14:val="tx1"/>
            </w14:solidFill>
          </w14:textFill>
        </w:rPr>
        <w:t xml:space="preserve">              </w:t>
      </w:r>
      <w:r>
        <w:rPr>
          <w:rFonts w:ascii="宋体" w:hAnsi="宋体"/>
          <w:b w:val="0"/>
          <w:bCs/>
          <w:color w:val="000000" w:themeColor="text1"/>
          <w:sz w:val="24"/>
          <w:szCs w:val="24"/>
          <w14:textFill>
            <w14:solidFill>
              <w14:schemeClr w14:val="tx1"/>
            </w14:solidFill>
          </w14:textFill>
        </w:rPr>
        <w:t>元</w:t>
      </w:r>
      <w:r>
        <w:rPr>
          <w:rFonts w:hint="eastAsia" w:ascii="宋体" w:hAnsi="宋体"/>
          <w:b w:val="0"/>
          <w:bCs/>
          <w:color w:val="000000" w:themeColor="text1"/>
          <w:sz w:val="24"/>
          <w:szCs w:val="24"/>
          <w14:textFill>
            <w14:solidFill>
              <w14:schemeClr w14:val="tx1"/>
            </w14:solidFill>
          </w14:textFill>
        </w:rPr>
        <w:t>（</w:t>
      </w:r>
      <w:r>
        <w:rPr>
          <w:rFonts w:ascii="宋体" w:hAnsi="宋体"/>
          <w:b w:val="0"/>
          <w:bCs/>
          <w:color w:val="000000" w:themeColor="text1"/>
          <w:sz w:val="24"/>
          <w:szCs w:val="24"/>
          <w14:textFill>
            <w14:solidFill>
              <w14:schemeClr w14:val="tx1"/>
            </w14:solidFill>
          </w14:textFill>
        </w:rPr>
        <w:t>大写</w:t>
      </w:r>
      <w:r>
        <w:rPr>
          <w:rFonts w:hint="eastAsia" w:ascii="宋体" w:hAnsi="宋体"/>
          <w:b w:val="0"/>
          <w:bCs/>
          <w:color w:val="000000" w:themeColor="text1"/>
          <w:sz w:val="24"/>
          <w:szCs w:val="24"/>
          <w14:textFill>
            <w14:solidFill>
              <w14:schemeClr w14:val="tx1"/>
            </w14:solidFill>
          </w14:textFill>
        </w:rPr>
        <w:t>人民币</w:t>
      </w:r>
      <w:r>
        <w:rPr>
          <w:rFonts w:hint="eastAsia" w:ascii="宋体" w:hAnsi="宋体"/>
          <w:b w:val="0"/>
          <w:bCs/>
          <w:color w:val="000000" w:themeColor="text1"/>
          <w:sz w:val="24"/>
          <w:szCs w:val="24"/>
          <w:u w:val="single"/>
          <w14:textFill>
            <w14:solidFill>
              <w14:schemeClr w14:val="tx1"/>
            </w14:solidFill>
          </w14:textFill>
        </w:rPr>
        <w:t xml:space="preserve">                 </w:t>
      </w:r>
      <w:r>
        <w:rPr>
          <w:rFonts w:ascii="宋体" w:hAnsi="宋体"/>
          <w:b w:val="0"/>
          <w:bCs/>
          <w:color w:val="000000" w:themeColor="text1"/>
          <w:sz w:val="24"/>
          <w:szCs w:val="24"/>
          <w14:textFill>
            <w14:solidFill>
              <w14:schemeClr w14:val="tx1"/>
            </w14:solidFill>
          </w14:textFill>
        </w:rPr>
        <w:t>元</w:t>
      </w:r>
      <w:r>
        <w:rPr>
          <w:rFonts w:hint="eastAsia" w:ascii="宋体" w:hAnsi="宋体"/>
          <w:b w:val="0"/>
          <w:bCs/>
          <w:color w:val="000000" w:themeColor="text1"/>
          <w:sz w:val="24"/>
          <w:szCs w:val="24"/>
          <w14:textFill>
            <w14:solidFill>
              <w14:schemeClr w14:val="tx1"/>
            </w14:solidFill>
          </w14:textFill>
        </w:rPr>
        <w:t>）。</w:t>
      </w:r>
    </w:p>
    <w:p w14:paraId="41A98FB8">
      <w:pPr>
        <w:pageBreakBefore w:val="0"/>
        <w:kinsoku/>
        <w:wordWrap/>
        <w:overflowPunct/>
        <w:topLinePunct w:val="0"/>
        <w:bidi w:val="0"/>
        <w:spacing w:line="360" w:lineRule="auto"/>
        <w:ind w:firstLine="573"/>
        <w:textAlignment w:val="auto"/>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上述报价详附件：“工程量清单计价表”（及综合单价分析表）。</w:t>
      </w:r>
    </w:p>
    <w:p w14:paraId="4255FBAE">
      <w:pPr>
        <w:keepNext w:val="0"/>
        <w:keepLines w:val="0"/>
        <w:pageBreakBefore w:val="0"/>
        <w:widowControl/>
        <w:numPr>
          <w:ilvl w:val="0"/>
          <w:numId w:val="39"/>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Times New Roman"/>
          <w:b w:val="0"/>
          <w:bCs/>
          <w:color w:val="000000" w:themeColor="text1"/>
          <w:sz w:val="24"/>
          <w:szCs w:val="24"/>
          <w14:textFill>
            <w14:solidFill>
              <w14:schemeClr w14:val="tx1"/>
            </w14:solidFill>
          </w14:textFill>
        </w:rPr>
      </w:pPr>
      <w:r>
        <w:rPr>
          <w:rFonts w:hint="eastAsia" w:ascii="宋体" w:hAnsi="宋体" w:eastAsia="宋体" w:cs="Times New Roman"/>
          <w:b w:val="0"/>
          <w:bCs/>
          <w:color w:val="000000" w:themeColor="text1"/>
          <w:sz w:val="24"/>
          <w:szCs w:val="24"/>
          <w14:textFill>
            <w14:solidFill>
              <w14:schemeClr w14:val="tx1"/>
            </w14:solidFill>
          </w14:textFill>
        </w:rPr>
        <w:t>我方确认所提供的投标价格不低于施工成本价，我方承诺在投标有效期内不修改、撤销投标文件。</w:t>
      </w:r>
    </w:p>
    <w:p w14:paraId="480C8BA4">
      <w:pPr>
        <w:keepNext w:val="0"/>
        <w:keepLines w:val="0"/>
        <w:pageBreakBefore w:val="0"/>
        <w:widowControl/>
        <w:numPr>
          <w:ilvl w:val="0"/>
          <w:numId w:val="39"/>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Times New Roman"/>
          <w:b w:val="0"/>
          <w:bCs/>
          <w:color w:val="000000" w:themeColor="text1"/>
          <w:sz w:val="24"/>
          <w:szCs w:val="24"/>
          <w14:textFill>
            <w14:solidFill>
              <w14:schemeClr w14:val="tx1"/>
            </w14:solidFill>
          </w14:textFill>
        </w:rPr>
      </w:pPr>
      <w:r>
        <w:rPr>
          <w:rFonts w:hint="eastAsia" w:ascii="宋体" w:hAnsi="宋体" w:eastAsia="宋体" w:cs="Times New Roman"/>
          <w:b w:val="0"/>
          <w:bCs/>
          <w:color w:val="000000" w:themeColor="text1"/>
          <w:sz w:val="24"/>
          <w:szCs w:val="24"/>
          <w14:textFill>
            <w14:solidFill>
              <w14:schemeClr w14:val="tx1"/>
            </w14:solidFill>
          </w14:textFill>
        </w:rPr>
        <w:t>如果我方的投标被接纳，我方保证在合同所规定的</w:t>
      </w:r>
      <w:r>
        <w:rPr>
          <w:rFonts w:hint="eastAsia" w:ascii="宋体" w:hAnsi="宋体" w:cs="Times New Roman"/>
          <w:b w:val="0"/>
          <w:bCs/>
          <w:color w:val="000000" w:themeColor="text1"/>
          <w:sz w:val="24"/>
          <w:szCs w:val="24"/>
          <w:lang w:val="en-US" w:eastAsia="zh-CN"/>
          <w14:textFill>
            <w14:solidFill>
              <w14:schemeClr w14:val="tx1"/>
            </w14:solidFill>
          </w14:textFill>
        </w:rPr>
        <w:t>服务期限内完成所有相关服务</w:t>
      </w:r>
      <w:r>
        <w:rPr>
          <w:rFonts w:hint="eastAsia" w:ascii="宋体" w:hAnsi="宋体" w:eastAsia="宋体" w:cs="Times New Roman"/>
          <w:b w:val="0"/>
          <w:bCs/>
          <w:color w:val="000000" w:themeColor="text1"/>
          <w:sz w:val="24"/>
          <w:szCs w:val="24"/>
          <w14:textFill>
            <w14:solidFill>
              <w14:schemeClr w14:val="tx1"/>
            </w14:solidFill>
          </w14:textFill>
        </w:rPr>
        <w:t>。</w:t>
      </w:r>
    </w:p>
    <w:p w14:paraId="6B0098B6">
      <w:pPr>
        <w:keepNext w:val="0"/>
        <w:keepLines w:val="0"/>
        <w:pageBreakBefore w:val="0"/>
        <w:widowControl/>
        <w:numPr>
          <w:ilvl w:val="0"/>
          <w:numId w:val="39"/>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Times New Roman"/>
          <w:b w:val="0"/>
          <w:bCs/>
          <w:color w:val="000000" w:themeColor="text1"/>
          <w:sz w:val="24"/>
          <w:szCs w:val="24"/>
          <w14:textFill>
            <w14:solidFill>
              <w14:schemeClr w14:val="tx1"/>
            </w14:solidFill>
          </w14:textFill>
        </w:rPr>
      </w:pPr>
      <w:r>
        <w:rPr>
          <w:rFonts w:hint="eastAsia" w:ascii="宋体" w:hAnsi="宋体" w:eastAsia="宋体" w:cs="Times New Roman"/>
          <w:b w:val="0"/>
          <w:bCs/>
          <w:color w:val="000000" w:themeColor="text1"/>
          <w:sz w:val="24"/>
          <w:szCs w:val="24"/>
          <w14:textFill>
            <w14:solidFill>
              <w14:schemeClr w14:val="tx1"/>
            </w14:solidFill>
          </w14:textFill>
        </w:rPr>
        <w:t>如果我方的投标被接纳，我方将按照合同条款提交规定数额的履约保证金担保我方照章履行合同，并对此共同地和分别地承担责任。</w:t>
      </w:r>
    </w:p>
    <w:p w14:paraId="2E908D98">
      <w:pPr>
        <w:keepNext w:val="0"/>
        <w:keepLines w:val="0"/>
        <w:pageBreakBefore w:val="0"/>
        <w:widowControl/>
        <w:numPr>
          <w:ilvl w:val="0"/>
          <w:numId w:val="39"/>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Times New Roman"/>
          <w:b w:val="0"/>
          <w:bCs/>
          <w:color w:val="000000" w:themeColor="text1"/>
          <w:sz w:val="24"/>
          <w:szCs w:val="24"/>
          <w14:textFill>
            <w14:solidFill>
              <w14:schemeClr w14:val="tx1"/>
            </w14:solidFill>
          </w14:textFill>
        </w:rPr>
      </w:pPr>
      <w:r>
        <w:rPr>
          <w:rFonts w:hint="eastAsia" w:ascii="宋体" w:hAnsi="宋体" w:eastAsia="宋体" w:cs="Times New Roman"/>
          <w:b w:val="0"/>
          <w:bCs/>
          <w:color w:val="000000" w:themeColor="text1"/>
          <w:sz w:val="24"/>
          <w:szCs w:val="24"/>
          <w14:textFill>
            <w14:solidFill>
              <w14:schemeClr w14:val="tx1"/>
            </w14:solidFill>
          </w14:textFill>
        </w:rPr>
        <w:t>我方同意我方投标函在规定的投标截止日期之后一天（含此天）起计的90天内对我方有约束力，在此有效期内随时可被接纳。</w:t>
      </w:r>
    </w:p>
    <w:p w14:paraId="45E6BB1C">
      <w:pPr>
        <w:keepNext w:val="0"/>
        <w:keepLines w:val="0"/>
        <w:pageBreakBefore w:val="0"/>
        <w:widowControl/>
        <w:numPr>
          <w:ilvl w:val="0"/>
          <w:numId w:val="39"/>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Times New Roman"/>
          <w:b w:val="0"/>
          <w:bCs/>
          <w:color w:val="000000" w:themeColor="text1"/>
          <w:sz w:val="24"/>
          <w:szCs w:val="24"/>
          <w14:textFill>
            <w14:solidFill>
              <w14:schemeClr w14:val="tx1"/>
            </w14:solidFill>
          </w14:textFill>
        </w:rPr>
      </w:pPr>
      <w:r>
        <w:rPr>
          <w:rFonts w:hint="eastAsia" w:ascii="宋体" w:hAnsi="宋体" w:eastAsia="宋体" w:cs="Times New Roman"/>
          <w:b w:val="0"/>
          <w:bCs/>
          <w:color w:val="000000" w:themeColor="text1"/>
          <w:sz w:val="24"/>
          <w:szCs w:val="24"/>
          <w14:textFill>
            <w14:solidFill>
              <w14:schemeClr w14:val="tx1"/>
            </w14:solidFill>
          </w14:textFill>
        </w:rPr>
        <w:t>在签署合同协议之前，如本投标函上述条款被接纳时，你方的中标函和本投标函将构成约束我们双方的契约。</w:t>
      </w:r>
    </w:p>
    <w:p w14:paraId="2842492C">
      <w:pPr>
        <w:keepNext w:val="0"/>
        <w:keepLines w:val="0"/>
        <w:pageBreakBefore w:val="0"/>
        <w:widowControl/>
        <w:numPr>
          <w:ilvl w:val="0"/>
          <w:numId w:val="39"/>
        </w:numPr>
        <w:kinsoku/>
        <w:wordWrap/>
        <w:overflowPunct/>
        <w:topLinePunct w:val="0"/>
        <w:autoSpaceDE/>
        <w:autoSpaceDN/>
        <w:bidi w:val="0"/>
        <w:adjustRightInd/>
        <w:snapToGrid/>
        <w:spacing w:line="360" w:lineRule="auto"/>
        <w:ind w:left="0" w:leftChars="0" w:firstLine="420" w:firstLineChars="0"/>
        <w:jc w:val="left"/>
        <w:textAlignment w:val="auto"/>
        <w:rPr>
          <w:rFonts w:hint="eastAsia" w:ascii="宋体" w:hAnsi="宋体" w:eastAsia="宋体" w:cs="Times New Roman"/>
          <w:b w:val="0"/>
          <w:bCs/>
          <w:color w:val="000000" w:themeColor="text1"/>
          <w:sz w:val="24"/>
          <w:szCs w:val="24"/>
          <w14:textFill>
            <w14:solidFill>
              <w14:schemeClr w14:val="tx1"/>
            </w14:solidFill>
          </w14:textFill>
        </w:rPr>
      </w:pPr>
      <w:r>
        <w:rPr>
          <w:rFonts w:hint="eastAsia" w:ascii="宋体" w:hAnsi="宋体" w:eastAsia="宋体" w:cs="Times New Roman"/>
          <w:b w:val="0"/>
          <w:bCs/>
          <w:color w:val="000000" w:themeColor="text1"/>
          <w:sz w:val="24"/>
          <w:szCs w:val="24"/>
          <w14:textFill>
            <w14:solidFill>
              <w14:schemeClr w14:val="tx1"/>
            </w14:solidFill>
          </w14:textFill>
        </w:rPr>
        <w:t>我方理解你们不须接受收到的最低投标价格或受其它任何投标文件的约束。</w:t>
      </w:r>
    </w:p>
    <w:p w14:paraId="077ED789">
      <w:pPr>
        <w:pageBreakBefore w:val="0"/>
        <w:kinsoku/>
        <w:wordWrap/>
        <w:overflowPunct/>
        <w:topLinePunct w:val="0"/>
        <w:bidi w:val="0"/>
        <w:spacing w:line="360" w:lineRule="auto"/>
        <w:ind w:firstLine="573"/>
        <w:textAlignment w:val="auto"/>
        <w:rPr>
          <w:rFonts w:ascii="宋体" w:hAnsi="宋体"/>
          <w:b/>
          <w:color w:val="000000" w:themeColor="text1"/>
          <w:sz w:val="24"/>
          <w:szCs w:val="24"/>
          <w14:textFill>
            <w14:solidFill>
              <w14:schemeClr w14:val="tx1"/>
            </w14:solidFill>
          </w14:textFill>
        </w:rPr>
      </w:pPr>
    </w:p>
    <w:p w14:paraId="16C0CF0E">
      <w:pPr>
        <w:pageBreakBefore w:val="0"/>
        <w:kinsoku/>
        <w:wordWrap/>
        <w:overflowPunct/>
        <w:topLinePunct w:val="0"/>
        <w:bidi w:val="0"/>
        <w:spacing w:line="360" w:lineRule="auto"/>
        <w:ind w:firstLine="573"/>
        <w:textAlignment w:val="auto"/>
        <w:rPr>
          <w:rFonts w:ascii="宋体" w:hAnsi="宋体"/>
          <w:b/>
          <w:color w:val="000000" w:themeColor="text1"/>
          <w:sz w:val="24"/>
          <w:szCs w:val="24"/>
          <w14:textFill>
            <w14:solidFill>
              <w14:schemeClr w14:val="tx1"/>
            </w14:solidFill>
          </w14:textFill>
        </w:rPr>
      </w:pPr>
    </w:p>
    <w:p w14:paraId="05EADFB5">
      <w:pPr>
        <w:pageBreakBefore w:val="0"/>
        <w:widowControl/>
        <w:kinsoku/>
        <w:wordWrap/>
        <w:overflowPunct/>
        <w:topLinePunct w:val="0"/>
        <w:bidi w:val="0"/>
        <w:spacing w:line="360" w:lineRule="auto"/>
        <w:ind w:firstLine="4200" w:firstLineChars="1750"/>
        <w:jc w:val="left"/>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投标人：（盖章）</w:t>
      </w:r>
    </w:p>
    <w:p w14:paraId="3E09C203">
      <w:pPr>
        <w:pageBreakBefore w:val="0"/>
        <w:widowControl/>
        <w:kinsoku/>
        <w:wordWrap/>
        <w:overflowPunct/>
        <w:topLinePunct w:val="0"/>
        <w:bidi w:val="0"/>
        <w:spacing w:line="360" w:lineRule="auto"/>
        <w:ind w:firstLine="4200" w:firstLineChars="1750"/>
        <w:jc w:val="left"/>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法定代表人或其委托代理人：（盖章</w:t>
      </w:r>
      <w:r>
        <w:rPr>
          <w:rFonts w:hint="eastAsia" w:ascii="宋体" w:hAnsi="宋体"/>
          <w:color w:val="000000" w:themeColor="text1"/>
          <w:sz w:val="24"/>
          <w:szCs w:val="24"/>
          <w:lang w:val="en-US" w:eastAsia="zh-CN"/>
          <w14:textFill>
            <w14:solidFill>
              <w14:schemeClr w14:val="tx1"/>
            </w14:solidFill>
          </w14:textFill>
        </w:rPr>
        <w:t>或签字</w:t>
      </w:r>
      <w:r>
        <w:rPr>
          <w:rFonts w:hint="eastAsia" w:ascii="宋体" w:hAnsi="宋体"/>
          <w:color w:val="000000" w:themeColor="text1"/>
          <w:sz w:val="24"/>
          <w:szCs w:val="24"/>
          <w14:textFill>
            <w14:solidFill>
              <w14:schemeClr w14:val="tx1"/>
            </w14:solidFill>
          </w14:textFill>
        </w:rPr>
        <w:t>）</w:t>
      </w:r>
    </w:p>
    <w:p w14:paraId="32CDC660">
      <w:pPr>
        <w:pageBreakBefore w:val="0"/>
        <w:widowControl/>
        <w:kinsoku/>
        <w:wordWrap/>
        <w:overflowPunct/>
        <w:topLinePunct w:val="0"/>
        <w:bidi w:val="0"/>
        <w:spacing w:line="360" w:lineRule="auto"/>
        <w:ind w:firstLine="4200" w:firstLineChars="1750"/>
        <w:jc w:val="left"/>
        <w:textAlignment w:val="auto"/>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单位地址：</w:t>
      </w:r>
    </w:p>
    <w:p w14:paraId="681C5FB2">
      <w:pPr>
        <w:pageBreakBefore w:val="0"/>
        <w:widowControl/>
        <w:kinsoku/>
        <w:wordWrap/>
        <w:overflowPunct/>
        <w:topLinePunct w:val="0"/>
        <w:bidi w:val="0"/>
        <w:spacing w:line="360" w:lineRule="auto"/>
        <w:ind w:firstLine="4200" w:firstLineChars="1750"/>
        <w:jc w:val="left"/>
        <w:textAlignment w:val="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电话：</w:t>
      </w:r>
    </w:p>
    <w:p w14:paraId="2200158A">
      <w:pPr>
        <w:pageBreakBefore w:val="0"/>
        <w:widowControl/>
        <w:kinsoku/>
        <w:wordWrap/>
        <w:overflowPunct/>
        <w:topLinePunct w:val="0"/>
        <w:bidi w:val="0"/>
        <w:spacing w:line="360" w:lineRule="auto"/>
        <w:ind w:firstLine="4200" w:firstLineChars="1750"/>
        <w:jc w:val="left"/>
        <w:textAlignment w:val="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w:t>
      </w:r>
      <w:r>
        <w:rPr>
          <w:rFonts w:hint="eastAsia" w:ascii="宋体" w:hAnsi="宋体"/>
          <w:color w:val="000000" w:themeColor="text1"/>
          <w:sz w:val="24"/>
          <w:szCs w:val="24"/>
          <w:lang w:val="en-US" w:eastAsia="zh-CN"/>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年</w:t>
      </w:r>
      <w:r>
        <w:rPr>
          <w:rFonts w:hint="eastAsia" w:ascii="宋体" w:hAnsi="宋体"/>
          <w:color w:val="000000" w:themeColor="text1"/>
          <w:sz w:val="24"/>
          <w:szCs w:val="24"/>
          <w:lang w:val="en-US" w:eastAsia="zh-CN"/>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lang w:val="en-US" w:eastAsia="zh-CN"/>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w:t>
      </w:r>
    </w:p>
    <w:p w14:paraId="66EFB48B">
      <w:pPr>
        <w:pageBreakBefore w:val="0"/>
        <w:kinsoku/>
        <w:wordWrap/>
        <w:overflowPunct/>
        <w:topLinePunct w:val="0"/>
        <w:bidi w:val="0"/>
        <w:spacing w:line="300" w:lineRule="auto"/>
        <w:textAlignment w:val="auto"/>
        <w:rPr>
          <w:rFonts w:ascii="宋体" w:hAnsi="宋体"/>
          <w:szCs w:val="21"/>
        </w:rPr>
        <w:sectPr>
          <w:pgSz w:w="11906" w:h="16838"/>
          <w:pgMar w:top="1134" w:right="1134" w:bottom="1134" w:left="1418" w:header="567" w:footer="567" w:gutter="0"/>
          <w:pgNumType w:fmt="decimal"/>
          <w:cols w:space="425" w:num="1"/>
          <w:docGrid w:linePitch="312" w:charSpace="0"/>
        </w:sectPr>
      </w:pPr>
      <w:r>
        <w:rPr>
          <w:rFonts w:ascii="宋体" w:hAnsi="宋体"/>
          <w:szCs w:val="21"/>
        </w:rPr>
        <w:br w:type="page"/>
      </w:r>
    </w:p>
    <w:p w14:paraId="4F747BDE">
      <w:pPr>
        <w:pageBreakBefore w:val="0"/>
        <w:kinsoku/>
        <w:wordWrap/>
        <w:overflowPunct/>
        <w:topLinePunct w:val="0"/>
        <w:bidi w:val="0"/>
        <w:spacing w:line="300" w:lineRule="auto"/>
        <w:textAlignment w:val="auto"/>
        <w:rPr>
          <w:rFonts w:ascii="宋体" w:hAnsi="宋体"/>
          <w:szCs w:val="21"/>
        </w:rPr>
      </w:pPr>
      <w:bookmarkStart w:id="215" w:name="_Toc14369"/>
      <w:bookmarkStart w:id="216" w:name="_Toc25176"/>
      <w:bookmarkStart w:id="217" w:name="_Toc16184"/>
      <w:bookmarkStart w:id="218" w:name="_Toc16161"/>
      <w:r>
        <w:rPr>
          <w:rFonts w:hint="eastAsia"/>
          <w:b/>
          <w:bCs/>
          <w:sz w:val="24"/>
          <w:szCs w:val="24"/>
          <w:lang w:eastAsia="zh-CN"/>
        </w:rPr>
        <w:t>附件一：</w:t>
      </w:r>
      <w:r>
        <w:rPr>
          <w:rFonts w:hint="eastAsia"/>
          <w:b/>
          <w:bCs/>
          <w:sz w:val="24"/>
          <w:szCs w:val="24"/>
        </w:rPr>
        <w:t>工程量清单计价表</w:t>
      </w:r>
      <w:bookmarkEnd w:id="215"/>
      <w:bookmarkEnd w:id="216"/>
      <w:bookmarkEnd w:id="217"/>
      <w:bookmarkEnd w:id="218"/>
    </w:p>
    <w:p w14:paraId="5BF15261">
      <w:pPr>
        <w:pageBreakBefore w:val="0"/>
        <w:kinsoku/>
        <w:wordWrap/>
        <w:overflowPunct/>
        <w:topLinePunct w:val="0"/>
        <w:bidi w:val="0"/>
        <w:spacing w:line="300" w:lineRule="auto"/>
        <w:textAlignment w:val="auto"/>
        <w:rPr>
          <w:rFonts w:ascii="宋体" w:hAnsi="宋体"/>
          <w:szCs w:val="21"/>
        </w:rPr>
      </w:pPr>
    </w:p>
    <w:tbl>
      <w:tblPr>
        <w:tblStyle w:val="41"/>
        <w:tblW w:w="90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2"/>
        <w:gridCol w:w="1442"/>
        <w:gridCol w:w="705"/>
        <w:gridCol w:w="1296"/>
        <w:gridCol w:w="1714"/>
        <w:gridCol w:w="1714"/>
        <w:gridCol w:w="1072"/>
      </w:tblGrid>
      <w:tr w14:paraId="4DFC0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015"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694354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工程名称：</w:t>
            </w:r>
            <w:r>
              <w:rPr>
                <w:rFonts w:hint="eastAsia" w:ascii="宋体" w:hAnsi="宋体" w:cs="宋体"/>
                <w:i w:val="0"/>
                <w:iCs w:val="0"/>
                <w:color w:val="000000"/>
                <w:kern w:val="0"/>
                <w:sz w:val="24"/>
                <w:szCs w:val="24"/>
                <w:u w:val="none"/>
                <w:lang w:val="en-US" w:eastAsia="zh-CN" w:bidi="ar"/>
              </w:rPr>
              <w:t>重庆海联职业技术学院两江校区项目（二期）监理咨询服务</w:t>
            </w:r>
          </w:p>
        </w:tc>
      </w:tr>
      <w:tr w14:paraId="3CDA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D78CF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52" w:type="dxa"/>
            <w:tcBorders>
              <w:top w:val="single" w:color="000000" w:sz="8" w:space="0"/>
              <w:left w:val="nil"/>
              <w:bottom w:val="single" w:color="000000" w:sz="8" w:space="0"/>
              <w:right w:val="single" w:color="000000" w:sz="8" w:space="0"/>
            </w:tcBorders>
            <w:shd w:val="clear" w:color="auto" w:fill="auto"/>
            <w:vAlign w:val="center"/>
          </w:tcPr>
          <w:p w14:paraId="26A253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分类名称</w:t>
            </w:r>
          </w:p>
        </w:tc>
        <w:tc>
          <w:tcPr>
            <w:tcW w:w="708" w:type="dxa"/>
            <w:tcBorders>
              <w:top w:val="single" w:color="000000" w:sz="8" w:space="0"/>
              <w:left w:val="nil"/>
              <w:bottom w:val="single" w:color="000000" w:sz="8" w:space="0"/>
              <w:right w:val="single" w:color="000000" w:sz="8" w:space="0"/>
            </w:tcBorders>
            <w:shd w:val="clear" w:color="auto" w:fill="auto"/>
            <w:vAlign w:val="center"/>
          </w:tcPr>
          <w:p w14:paraId="4890D5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45" w:type="dxa"/>
            <w:tcBorders>
              <w:top w:val="single" w:color="000000" w:sz="8" w:space="0"/>
              <w:left w:val="nil"/>
              <w:bottom w:val="single" w:color="000000" w:sz="8" w:space="0"/>
              <w:right w:val="single" w:color="000000" w:sz="8" w:space="0"/>
            </w:tcBorders>
            <w:shd w:val="clear" w:color="auto" w:fill="auto"/>
            <w:vAlign w:val="center"/>
          </w:tcPr>
          <w:p w14:paraId="6F447C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面积</w:t>
            </w:r>
          </w:p>
        </w:tc>
        <w:tc>
          <w:tcPr>
            <w:tcW w:w="1725" w:type="dxa"/>
            <w:tcBorders>
              <w:top w:val="single" w:color="000000" w:sz="8" w:space="0"/>
              <w:left w:val="nil"/>
              <w:bottom w:val="single" w:color="000000" w:sz="8" w:space="0"/>
              <w:right w:val="single" w:color="000000" w:sz="8" w:space="0"/>
            </w:tcBorders>
            <w:shd w:val="clear" w:color="auto" w:fill="auto"/>
            <w:vAlign w:val="center"/>
          </w:tcPr>
          <w:p w14:paraId="28B0DC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含税单价（元）</w:t>
            </w:r>
          </w:p>
        </w:tc>
        <w:tc>
          <w:tcPr>
            <w:tcW w:w="1725" w:type="dxa"/>
            <w:tcBorders>
              <w:top w:val="single" w:color="000000" w:sz="8" w:space="0"/>
              <w:left w:val="nil"/>
              <w:bottom w:val="single" w:color="000000" w:sz="8" w:space="0"/>
              <w:right w:val="single" w:color="000000" w:sz="8" w:space="0"/>
            </w:tcBorders>
            <w:shd w:val="clear" w:color="auto" w:fill="auto"/>
            <w:vAlign w:val="center"/>
          </w:tcPr>
          <w:p w14:paraId="64B079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5937B1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C303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6"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5CAD189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w:t>
            </w:r>
          </w:p>
        </w:tc>
        <w:tc>
          <w:tcPr>
            <w:tcW w:w="1452" w:type="dxa"/>
            <w:tcBorders>
              <w:top w:val="nil"/>
              <w:left w:val="nil"/>
              <w:bottom w:val="single" w:color="000000" w:sz="8" w:space="0"/>
              <w:right w:val="single" w:color="000000" w:sz="8" w:space="0"/>
            </w:tcBorders>
            <w:shd w:val="clear" w:color="auto" w:fill="auto"/>
            <w:vAlign w:val="center"/>
          </w:tcPr>
          <w:p w14:paraId="7706E9A8">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建筑面积（含地下建筑）</w:t>
            </w:r>
          </w:p>
        </w:tc>
        <w:tc>
          <w:tcPr>
            <w:tcW w:w="708" w:type="dxa"/>
            <w:tcBorders>
              <w:top w:val="nil"/>
              <w:left w:val="nil"/>
              <w:bottom w:val="single" w:color="000000" w:sz="8" w:space="0"/>
              <w:right w:val="single" w:color="000000" w:sz="8" w:space="0"/>
            </w:tcBorders>
            <w:shd w:val="clear" w:color="auto" w:fill="auto"/>
            <w:vAlign w:val="center"/>
          </w:tcPr>
          <w:p w14:paraId="3BD9FD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45" w:type="dxa"/>
            <w:tcBorders>
              <w:top w:val="nil"/>
              <w:left w:val="nil"/>
              <w:bottom w:val="single" w:color="000000" w:sz="8" w:space="0"/>
              <w:right w:val="single" w:color="000000" w:sz="8" w:space="0"/>
            </w:tcBorders>
            <w:shd w:val="clear" w:color="auto" w:fill="auto"/>
            <w:vAlign w:val="center"/>
          </w:tcPr>
          <w:p w14:paraId="4A23DB5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140000.00</w:t>
            </w:r>
          </w:p>
        </w:tc>
        <w:tc>
          <w:tcPr>
            <w:tcW w:w="1725" w:type="dxa"/>
            <w:tcBorders>
              <w:top w:val="nil"/>
              <w:left w:val="nil"/>
              <w:bottom w:val="single" w:color="000000" w:sz="8" w:space="0"/>
              <w:right w:val="single" w:color="000000" w:sz="8" w:space="0"/>
            </w:tcBorders>
            <w:shd w:val="clear" w:color="auto" w:fill="auto"/>
            <w:vAlign w:val="center"/>
          </w:tcPr>
          <w:p w14:paraId="372B4029">
            <w:pPr>
              <w:jc w:val="center"/>
              <w:rPr>
                <w:rFonts w:hint="eastAsia" w:ascii="宋体" w:hAnsi="宋体" w:eastAsia="宋体" w:cs="宋体"/>
                <w:b/>
                <w:bCs/>
                <w:i w:val="0"/>
                <w:iCs w:val="0"/>
                <w:color w:val="000000"/>
                <w:sz w:val="24"/>
                <w:szCs w:val="24"/>
                <w:u w:val="none"/>
              </w:rPr>
            </w:pPr>
          </w:p>
        </w:tc>
        <w:tc>
          <w:tcPr>
            <w:tcW w:w="1725" w:type="dxa"/>
            <w:tcBorders>
              <w:top w:val="nil"/>
              <w:left w:val="nil"/>
              <w:bottom w:val="single" w:color="000000" w:sz="8" w:space="0"/>
              <w:right w:val="single" w:color="000000" w:sz="8" w:space="0"/>
            </w:tcBorders>
            <w:shd w:val="clear" w:color="auto" w:fill="auto"/>
            <w:vAlign w:val="center"/>
          </w:tcPr>
          <w:p w14:paraId="69DF8274">
            <w:pPr>
              <w:jc w:val="center"/>
              <w:rPr>
                <w:rFonts w:hint="eastAsia" w:ascii="宋体" w:hAnsi="宋体" w:eastAsia="宋体" w:cs="宋体"/>
                <w:b/>
                <w:bCs/>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auto"/>
            <w:vAlign w:val="center"/>
          </w:tcPr>
          <w:p w14:paraId="57BBC01A">
            <w:pPr>
              <w:jc w:val="center"/>
              <w:rPr>
                <w:rFonts w:hint="eastAsia" w:ascii="宋体" w:hAnsi="宋体" w:eastAsia="宋体" w:cs="宋体"/>
                <w:b/>
                <w:bCs/>
                <w:i w:val="0"/>
                <w:iCs w:val="0"/>
                <w:color w:val="000000"/>
                <w:sz w:val="24"/>
                <w:szCs w:val="24"/>
                <w:u w:val="none"/>
              </w:rPr>
            </w:pPr>
          </w:p>
        </w:tc>
      </w:tr>
      <w:tr w14:paraId="513F2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2A2E1E30">
            <w:pPr>
              <w:jc w:val="center"/>
              <w:rPr>
                <w:rFonts w:hint="eastAsia" w:ascii="宋体" w:hAnsi="宋体" w:eastAsia="宋体" w:cs="宋体"/>
                <w:b/>
                <w:bCs/>
                <w:i w:val="0"/>
                <w:iCs w:val="0"/>
                <w:color w:val="000000"/>
                <w:sz w:val="24"/>
                <w:szCs w:val="24"/>
                <w:u w:val="none"/>
              </w:rPr>
            </w:pPr>
          </w:p>
        </w:tc>
        <w:tc>
          <w:tcPr>
            <w:tcW w:w="1452" w:type="dxa"/>
            <w:tcBorders>
              <w:top w:val="nil"/>
              <w:left w:val="nil"/>
              <w:bottom w:val="single" w:color="000000" w:sz="8" w:space="0"/>
              <w:right w:val="single" w:color="000000" w:sz="8" w:space="0"/>
            </w:tcBorders>
            <w:shd w:val="clear" w:color="auto" w:fill="auto"/>
            <w:vAlign w:val="center"/>
          </w:tcPr>
          <w:p w14:paraId="098D553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708" w:type="dxa"/>
            <w:tcBorders>
              <w:top w:val="nil"/>
              <w:left w:val="nil"/>
              <w:bottom w:val="single" w:color="000000" w:sz="8" w:space="0"/>
              <w:right w:val="single" w:color="000000" w:sz="8" w:space="0"/>
            </w:tcBorders>
            <w:shd w:val="clear" w:color="auto" w:fill="auto"/>
            <w:vAlign w:val="center"/>
          </w:tcPr>
          <w:p w14:paraId="0F5D4C2B">
            <w:pPr>
              <w:jc w:val="center"/>
              <w:rPr>
                <w:rFonts w:hint="eastAsia" w:ascii="宋体" w:hAnsi="宋体" w:eastAsia="宋体" w:cs="宋体"/>
                <w:b/>
                <w:bCs/>
                <w:i w:val="0"/>
                <w:iCs w:val="0"/>
                <w:color w:val="000000"/>
                <w:sz w:val="24"/>
                <w:szCs w:val="24"/>
                <w:u w:val="none"/>
              </w:rPr>
            </w:pPr>
          </w:p>
        </w:tc>
        <w:tc>
          <w:tcPr>
            <w:tcW w:w="1245" w:type="dxa"/>
            <w:tcBorders>
              <w:top w:val="nil"/>
              <w:left w:val="nil"/>
              <w:bottom w:val="single" w:color="000000" w:sz="8" w:space="0"/>
              <w:right w:val="single" w:color="000000" w:sz="8" w:space="0"/>
            </w:tcBorders>
            <w:shd w:val="clear" w:color="auto" w:fill="auto"/>
            <w:vAlign w:val="center"/>
          </w:tcPr>
          <w:p w14:paraId="67A1F84F">
            <w:pPr>
              <w:jc w:val="center"/>
              <w:rPr>
                <w:rFonts w:hint="eastAsia" w:ascii="宋体" w:hAnsi="宋体" w:eastAsia="宋体" w:cs="宋体"/>
                <w:b/>
                <w:bCs/>
                <w:i w:val="0"/>
                <w:iCs w:val="0"/>
                <w:color w:val="000000"/>
                <w:sz w:val="24"/>
                <w:szCs w:val="24"/>
                <w:u w:val="none"/>
              </w:rPr>
            </w:pPr>
          </w:p>
        </w:tc>
        <w:tc>
          <w:tcPr>
            <w:tcW w:w="1725" w:type="dxa"/>
            <w:tcBorders>
              <w:top w:val="nil"/>
              <w:left w:val="nil"/>
              <w:bottom w:val="single" w:color="000000" w:sz="8" w:space="0"/>
              <w:right w:val="single" w:color="000000" w:sz="8" w:space="0"/>
            </w:tcBorders>
            <w:shd w:val="clear" w:color="auto" w:fill="auto"/>
            <w:vAlign w:val="center"/>
          </w:tcPr>
          <w:p w14:paraId="770EA587">
            <w:pPr>
              <w:jc w:val="center"/>
              <w:rPr>
                <w:rFonts w:hint="eastAsia" w:ascii="宋体" w:hAnsi="宋体" w:eastAsia="宋体" w:cs="宋体"/>
                <w:b/>
                <w:bCs/>
                <w:i w:val="0"/>
                <w:iCs w:val="0"/>
                <w:color w:val="000000"/>
                <w:sz w:val="24"/>
                <w:szCs w:val="24"/>
                <w:u w:val="none"/>
              </w:rPr>
            </w:pPr>
          </w:p>
        </w:tc>
        <w:tc>
          <w:tcPr>
            <w:tcW w:w="1725" w:type="dxa"/>
            <w:tcBorders>
              <w:top w:val="nil"/>
              <w:left w:val="nil"/>
              <w:bottom w:val="single" w:color="000000" w:sz="8" w:space="0"/>
              <w:right w:val="single" w:color="000000" w:sz="8" w:space="0"/>
            </w:tcBorders>
            <w:shd w:val="clear" w:color="auto" w:fill="auto"/>
            <w:vAlign w:val="center"/>
          </w:tcPr>
          <w:p w14:paraId="3C7E56DD">
            <w:pPr>
              <w:jc w:val="center"/>
              <w:rPr>
                <w:rFonts w:hint="eastAsia" w:ascii="宋体" w:hAnsi="宋体" w:eastAsia="宋体" w:cs="宋体"/>
                <w:b/>
                <w:bCs/>
                <w:i w:val="0"/>
                <w:iCs w:val="0"/>
                <w:color w:val="000000"/>
                <w:sz w:val="24"/>
                <w:szCs w:val="24"/>
                <w:u w:val="none"/>
              </w:rPr>
            </w:pPr>
          </w:p>
        </w:tc>
        <w:tc>
          <w:tcPr>
            <w:tcW w:w="1080" w:type="dxa"/>
            <w:tcBorders>
              <w:top w:val="nil"/>
              <w:left w:val="nil"/>
              <w:bottom w:val="single" w:color="000000" w:sz="8" w:space="0"/>
              <w:right w:val="single" w:color="000000" w:sz="8" w:space="0"/>
            </w:tcBorders>
            <w:shd w:val="clear" w:color="auto" w:fill="auto"/>
            <w:vAlign w:val="center"/>
          </w:tcPr>
          <w:p w14:paraId="6D4CA17E">
            <w:pPr>
              <w:jc w:val="center"/>
              <w:rPr>
                <w:rFonts w:hint="eastAsia" w:ascii="宋体" w:hAnsi="宋体" w:eastAsia="宋体" w:cs="宋体"/>
                <w:b/>
                <w:bCs/>
                <w:i w:val="0"/>
                <w:iCs w:val="0"/>
                <w:color w:val="000000"/>
                <w:sz w:val="24"/>
                <w:szCs w:val="24"/>
                <w:u w:val="none"/>
              </w:rPr>
            </w:pPr>
          </w:p>
        </w:tc>
      </w:tr>
      <w:tr w14:paraId="364AA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015" w:type="dxa"/>
            <w:gridSpan w:val="7"/>
            <w:tcBorders>
              <w:top w:val="nil"/>
              <w:left w:val="single" w:color="000000" w:sz="8" w:space="0"/>
              <w:bottom w:val="nil"/>
              <w:right w:val="single" w:color="000000" w:sz="8" w:space="0"/>
            </w:tcBorders>
            <w:shd w:val="clear" w:color="auto" w:fill="auto"/>
            <w:vAlign w:val="center"/>
          </w:tcPr>
          <w:p w14:paraId="59BDE2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说明:</w:t>
            </w:r>
          </w:p>
        </w:tc>
      </w:tr>
      <w:tr w14:paraId="281AF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015" w:type="dxa"/>
            <w:gridSpan w:val="7"/>
            <w:tcBorders>
              <w:top w:val="nil"/>
              <w:left w:val="single" w:color="000000" w:sz="8" w:space="0"/>
              <w:bottom w:val="single" w:color="000000" w:sz="8" w:space="0"/>
              <w:right w:val="single" w:color="000000" w:sz="8" w:space="0"/>
            </w:tcBorders>
            <w:shd w:val="clear" w:color="auto" w:fill="auto"/>
            <w:vAlign w:val="center"/>
          </w:tcPr>
          <w:p w14:paraId="49C6A4B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以上含税单价税率为增值税税率</w:t>
            </w:r>
            <w:r>
              <w:rPr>
                <w:rStyle w:val="174"/>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，若税务部门调整税率时，结算时按实调整税率。</w:t>
            </w:r>
          </w:p>
        </w:tc>
      </w:tr>
    </w:tbl>
    <w:p w14:paraId="21932A3F">
      <w:pPr>
        <w:pageBreakBefore w:val="0"/>
        <w:kinsoku/>
        <w:wordWrap/>
        <w:overflowPunct/>
        <w:topLinePunct w:val="0"/>
        <w:bidi w:val="0"/>
        <w:spacing w:line="300" w:lineRule="auto"/>
        <w:textAlignment w:val="auto"/>
        <w:rPr>
          <w:rFonts w:hint="eastAsia" w:ascii="宋体" w:hAnsi="宋体" w:eastAsia="宋体" w:cs="宋体"/>
          <w:i w:val="0"/>
          <w:color w:val="000000"/>
          <w:kern w:val="0"/>
          <w:sz w:val="24"/>
          <w:szCs w:val="24"/>
          <w:u w:val="none"/>
          <w:lang w:val="en-US" w:eastAsia="zh-CN" w:bidi="ar"/>
        </w:rPr>
      </w:pPr>
    </w:p>
    <w:p w14:paraId="1787EEB0">
      <w:pPr>
        <w:pageBreakBefore w:val="0"/>
        <w:kinsoku/>
        <w:wordWrap/>
        <w:overflowPunct/>
        <w:topLinePunct w:val="0"/>
        <w:bidi w:val="0"/>
        <w:spacing w:line="300" w:lineRule="auto"/>
        <w:textAlignment w:val="auto"/>
        <w:rPr>
          <w:rFonts w:hint="eastAsia" w:ascii="宋体" w:hAnsi="宋体" w:eastAsia="宋体" w:cs="宋体"/>
          <w:i w:val="0"/>
          <w:color w:val="000000"/>
          <w:kern w:val="0"/>
          <w:sz w:val="24"/>
          <w:szCs w:val="24"/>
          <w:u w:val="none"/>
          <w:lang w:val="en-US" w:eastAsia="zh-CN" w:bidi="ar"/>
        </w:rPr>
      </w:pPr>
    </w:p>
    <w:p w14:paraId="00691A03">
      <w:pPr>
        <w:pageBreakBefore w:val="0"/>
        <w:kinsoku/>
        <w:wordWrap/>
        <w:overflowPunct/>
        <w:topLinePunct w:val="0"/>
        <w:bidi w:val="0"/>
        <w:spacing w:line="300" w:lineRule="auto"/>
        <w:textAlignment w:val="auto"/>
        <w:rPr>
          <w:rFonts w:hint="eastAsia" w:ascii="宋体" w:hAnsi="宋体" w:eastAsia="宋体" w:cs="宋体"/>
          <w:i w:val="0"/>
          <w:color w:val="000000"/>
          <w:kern w:val="0"/>
          <w:sz w:val="24"/>
          <w:szCs w:val="24"/>
          <w:u w:val="none"/>
          <w:lang w:val="en-US" w:eastAsia="zh-CN" w:bidi="ar"/>
        </w:rPr>
      </w:pPr>
    </w:p>
    <w:p w14:paraId="56EFE5DA">
      <w:pPr>
        <w:keepNext w:val="0"/>
        <w:keepLines w:val="0"/>
        <w:pageBreakBefore w:val="0"/>
        <w:widowControl w:val="0"/>
        <w:kinsoku/>
        <w:wordWrap/>
        <w:overflowPunct/>
        <w:topLinePunct w:val="0"/>
        <w:autoSpaceDE/>
        <w:autoSpaceDN/>
        <w:bidi w:val="0"/>
        <w:adjustRightInd/>
        <w:snapToGrid/>
        <w:spacing w:line="360" w:lineRule="auto"/>
        <w:ind w:left="2100" w:leftChars="1000"/>
        <w:textAlignment w:val="auto"/>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投标人(盖章):</w:t>
      </w:r>
    </w:p>
    <w:p w14:paraId="173EFC68">
      <w:pPr>
        <w:keepNext w:val="0"/>
        <w:keepLines w:val="0"/>
        <w:pageBreakBefore w:val="0"/>
        <w:widowControl w:val="0"/>
        <w:kinsoku/>
        <w:wordWrap/>
        <w:overflowPunct/>
        <w:topLinePunct w:val="0"/>
        <w:autoSpaceDE/>
        <w:autoSpaceDN/>
        <w:bidi w:val="0"/>
        <w:adjustRightInd/>
        <w:snapToGrid/>
        <w:spacing w:line="360" w:lineRule="auto"/>
        <w:ind w:left="2100" w:leftChars="1000"/>
        <w:textAlignment w:val="auto"/>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法人代表或授权代表签字:</w:t>
      </w:r>
    </w:p>
    <w:p w14:paraId="393CB268">
      <w:pPr>
        <w:keepNext w:val="0"/>
        <w:keepLines w:val="0"/>
        <w:pageBreakBefore w:val="0"/>
        <w:widowControl w:val="0"/>
        <w:kinsoku/>
        <w:wordWrap/>
        <w:overflowPunct/>
        <w:topLinePunct w:val="0"/>
        <w:autoSpaceDE/>
        <w:autoSpaceDN/>
        <w:bidi w:val="0"/>
        <w:adjustRightInd/>
        <w:snapToGrid/>
        <w:spacing w:line="360" w:lineRule="auto"/>
        <w:ind w:left="2100" w:leftChars="1000"/>
        <w:textAlignment w:val="auto"/>
        <w:rPr>
          <w:rFonts w:hint="eastAsia" w:ascii="宋体" w:hAnsi="宋体" w:eastAsia="宋体" w:cs="宋体"/>
          <w:i w:val="0"/>
          <w:color w:val="000000"/>
          <w:kern w:val="0"/>
          <w:sz w:val="24"/>
          <w:szCs w:val="24"/>
          <w:u w:val="none"/>
          <w:lang w:val="en-US" w:eastAsia="zh-CN" w:bidi="ar"/>
        </w:rPr>
        <w:sectPr>
          <w:pgSz w:w="11906" w:h="16838"/>
          <w:pgMar w:top="1134" w:right="1134" w:bottom="1134" w:left="1418" w:header="567" w:footer="567" w:gutter="0"/>
          <w:pgNumType w:fmt="decimal"/>
          <w:cols w:space="425" w:num="1"/>
          <w:docGrid w:linePitch="312" w:charSpace="0"/>
        </w:sectPr>
      </w:pPr>
      <w:r>
        <w:rPr>
          <w:rFonts w:hint="eastAsia" w:ascii="宋体" w:hAnsi="宋体" w:eastAsia="宋体" w:cs="宋体"/>
          <w:i w:val="0"/>
          <w:color w:val="000000"/>
          <w:kern w:val="0"/>
          <w:sz w:val="24"/>
          <w:szCs w:val="24"/>
          <w:u w:val="none"/>
          <w:lang w:val="en-US" w:eastAsia="zh-CN" w:bidi="ar"/>
        </w:rPr>
        <w:t>日期：    年   月    日</w:t>
      </w:r>
    </w:p>
    <w:p w14:paraId="51C3E6E7">
      <w:pPr>
        <w:pageBreakBefore w:val="0"/>
        <w:kinsoku/>
        <w:wordWrap/>
        <w:overflowPunct/>
        <w:topLinePunct w:val="0"/>
        <w:bidi w:val="0"/>
        <w:spacing w:line="300" w:lineRule="auto"/>
        <w:textAlignment w:val="auto"/>
        <w:rPr>
          <w:rFonts w:ascii="宋体" w:hAnsi="宋体"/>
          <w:szCs w:val="21"/>
        </w:rPr>
      </w:pPr>
    </w:p>
    <w:p w14:paraId="4181CAD0">
      <w:pPr>
        <w:pStyle w:val="5"/>
        <w:widowControl/>
        <w:spacing w:before="0" w:after="0" w:line="300" w:lineRule="auto"/>
        <w:jc w:val="center"/>
        <w:rPr>
          <w:rFonts w:ascii="宋体" w:hAnsi="宋体" w:eastAsia="宋体"/>
          <w:color w:val="000000" w:themeColor="text1"/>
          <w:kern w:val="0"/>
          <w14:textFill>
            <w14:solidFill>
              <w14:schemeClr w14:val="tx1"/>
            </w14:solidFill>
          </w14:textFill>
        </w:rPr>
      </w:pPr>
      <w:bookmarkStart w:id="219" w:name="_Toc27815"/>
      <w:bookmarkStart w:id="220" w:name="_Toc28310"/>
      <w:bookmarkStart w:id="221" w:name="_Toc24493"/>
      <w:bookmarkStart w:id="222" w:name="_Toc30468"/>
      <w:bookmarkStart w:id="223" w:name="_Toc17944"/>
      <w:bookmarkStart w:id="224" w:name="_Toc21773"/>
      <w:bookmarkStart w:id="225" w:name="_Toc27600"/>
      <w:r>
        <w:rPr>
          <w:rFonts w:hint="eastAsia" w:ascii="宋体" w:hAnsi="宋体" w:eastAsia="宋体"/>
          <w:color w:val="000000" w:themeColor="text1"/>
          <w:kern w:val="0"/>
          <w14:textFill>
            <w14:solidFill>
              <w14:schemeClr w14:val="tx1"/>
            </w14:solidFill>
          </w14:textFill>
        </w:rPr>
        <w:t>二、法定代表人身份证明</w:t>
      </w:r>
      <w:bookmarkEnd w:id="219"/>
      <w:bookmarkEnd w:id="220"/>
      <w:bookmarkEnd w:id="221"/>
      <w:bookmarkEnd w:id="222"/>
      <w:bookmarkEnd w:id="223"/>
      <w:bookmarkEnd w:id="224"/>
      <w:bookmarkEnd w:id="225"/>
    </w:p>
    <w:p w14:paraId="452EDBD7">
      <w:pPr>
        <w:widowControl/>
        <w:ind w:left="765"/>
        <w:jc w:val="left"/>
        <w:rPr>
          <w:rFonts w:ascii="宋体" w:hAnsi="宋体"/>
          <w:color w:val="000000" w:themeColor="text1"/>
          <w:szCs w:val="21"/>
          <w14:textFill>
            <w14:solidFill>
              <w14:schemeClr w14:val="tx1"/>
            </w14:solidFill>
          </w14:textFill>
        </w:rPr>
      </w:pPr>
    </w:p>
    <w:p w14:paraId="3BBF11DF">
      <w:pPr>
        <w:widowControl/>
        <w:tabs>
          <w:tab w:val="left" w:pos="5460"/>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投标人名称：</w:t>
      </w:r>
      <w:r>
        <w:rPr>
          <w:rFonts w:ascii="宋体" w:hAnsi="宋体"/>
          <w:color w:val="000000" w:themeColor="text1"/>
          <w:kern w:val="0"/>
          <w:sz w:val="24"/>
          <w:szCs w:val="24"/>
          <w:u w:val="single"/>
          <w14:textFill>
            <w14:solidFill>
              <w14:schemeClr w14:val="tx1"/>
            </w14:solidFill>
          </w14:textFill>
        </w:rPr>
        <w:tab/>
      </w:r>
    </w:p>
    <w:p w14:paraId="737FCE25">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5A187EA3">
      <w:pPr>
        <w:widowControl/>
        <w:tabs>
          <w:tab w:val="left" w:pos="5475"/>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单位性质：</w:t>
      </w:r>
      <w:r>
        <w:rPr>
          <w:rFonts w:ascii="宋体" w:hAnsi="宋体"/>
          <w:color w:val="000000" w:themeColor="text1"/>
          <w:kern w:val="0"/>
          <w:sz w:val="24"/>
          <w:szCs w:val="24"/>
          <w:u w:val="single"/>
          <w14:textFill>
            <w14:solidFill>
              <w14:schemeClr w14:val="tx1"/>
            </w14:solidFill>
          </w14:textFill>
        </w:rPr>
        <w:tab/>
      </w:r>
    </w:p>
    <w:p w14:paraId="3F30CAA5">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6431ABF8">
      <w:pPr>
        <w:widowControl/>
        <w:tabs>
          <w:tab w:val="left" w:pos="5475"/>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地址：</w:t>
      </w:r>
      <w:r>
        <w:rPr>
          <w:rFonts w:ascii="宋体" w:hAnsi="宋体"/>
          <w:color w:val="000000" w:themeColor="text1"/>
          <w:kern w:val="0"/>
          <w:sz w:val="24"/>
          <w:szCs w:val="24"/>
          <w:u w:val="single"/>
          <w14:textFill>
            <w14:solidFill>
              <w14:schemeClr w14:val="tx1"/>
            </w14:solidFill>
          </w14:textFill>
        </w:rPr>
        <w:tab/>
      </w:r>
    </w:p>
    <w:p w14:paraId="041277F8">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5CFB1E80">
      <w:pPr>
        <w:widowControl/>
        <w:tabs>
          <w:tab w:val="left" w:pos="2520"/>
          <w:tab w:val="left" w:pos="3836"/>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成立时间：</w:t>
      </w:r>
      <w:r>
        <w:rPr>
          <w:rFonts w:ascii="宋体" w:hAnsi="宋体"/>
          <w:color w:val="000000" w:themeColor="text1"/>
          <w:kern w:val="0"/>
          <w:sz w:val="24"/>
          <w:szCs w:val="24"/>
          <w:u w:val="single"/>
          <w14:textFill>
            <w14:solidFill>
              <w14:schemeClr w14:val="tx1"/>
            </w14:solidFill>
          </w14:textFill>
        </w:rPr>
        <w:tab/>
      </w:r>
      <w:r>
        <w:rPr>
          <w:rFonts w:hint="eastAsia" w:ascii="宋体" w:hAnsi="宋体" w:cs="MingLiU"/>
          <w:color w:val="000000" w:themeColor="text1"/>
          <w:spacing w:val="-1"/>
          <w:kern w:val="0"/>
          <w:sz w:val="24"/>
          <w:szCs w:val="24"/>
          <w14:textFill>
            <w14:solidFill>
              <w14:schemeClr w14:val="tx1"/>
            </w14:solidFill>
          </w14:textFill>
        </w:rPr>
        <w:t>年</w:t>
      </w:r>
      <w:r>
        <w:rPr>
          <w:rFonts w:ascii="宋体" w:hAnsi="宋体"/>
          <w:color w:val="000000" w:themeColor="text1"/>
          <w:kern w:val="0"/>
          <w:sz w:val="24"/>
          <w:szCs w:val="24"/>
          <w:u w:val="single"/>
          <w14:textFill>
            <w14:solidFill>
              <w14:schemeClr w14:val="tx1"/>
            </w14:solidFill>
          </w14:textFill>
        </w:rPr>
        <w:tab/>
      </w:r>
      <w:r>
        <w:rPr>
          <w:rFonts w:hint="eastAsia" w:ascii="宋体" w:hAnsi="宋体" w:cs="MingLiU"/>
          <w:color w:val="000000" w:themeColor="text1"/>
          <w:spacing w:val="-1"/>
          <w:kern w:val="0"/>
          <w:sz w:val="24"/>
          <w:szCs w:val="24"/>
          <w14:textFill>
            <w14:solidFill>
              <w14:schemeClr w14:val="tx1"/>
            </w14:solidFill>
          </w14:textFill>
        </w:rPr>
        <w:t>月</w:t>
      </w:r>
      <w:r>
        <w:rPr>
          <w:rFonts w:hint="eastAsia" w:ascii="宋体" w:hAnsi="宋体" w:cs="MingLiU"/>
          <w:color w:val="000000" w:themeColor="text1"/>
          <w:spacing w:val="-1"/>
          <w:kern w:val="0"/>
          <w:sz w:val="24"/>
          <w:szCs w:val="24"/>
          <w:u w:val="single"/>
          <w14:textFill>
            <w14:solidFill>
              <w14:schemeClr w14:val="tx1"/>
            </w14:solidFill>
          </w14:textFill>
        </w:rPr>
        <w:t xml:space="preserve"> </w:t>
      </w:r>
      <w:r>
        <w:rPr>
          <w:rFonts w:hint="eastAsia" w:ascii="宋体" w:hAnsi="宋体" w:cs="MingLiU"/>
          <w:color w:val="000000" w:themeColor="text1"/>
          <w:kern w:val="0"/>
          <w:sz w:val="24"/>
          <w:szCs w:val="24"/>
          <w:u w:val="single"/>
          <w14:textFill>
            <w14:solidFill>
              <w14:schemeClr w14:val="tx1"/>
            </w14:solidFill>
          </w14:textFill>
        </w:rPr>
        <w:t xml:space="preserve">           </w:t>
      </w:r>
      <w:r>
        <w:rPr>
          <w:rFonts w:hint="eastAsia" w:ascii="宋体" w:hAnsi="宋体" w:cs="MingLiU"/>
          <w:color w:val="000000" w:themeColor="text1"/>
          <w:kern w:val="0"/>
          <w:sz w:val="24"/>
          <w:szCs w:val="24"/>
          <w14:textFill>
            <w14:solidFill>
              <w14:schemeClr w14:val="tx1"/>
            </w14:solidFill>
          </w14:textFill>
        </w:rPr>
        <w:t>日</w:t>
      </w:r>
    </w:p>
    <w:p w14:paraId="0F8A5140">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56B1A698">
      <w:pPr>
        <w:widowControl/>
        <w:tabs>
          <w:tab w:val="left" w:pos="5475"/>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经营期限：</w:t>
      </w:r>
      <w:r>
        <w:rPr>
          <w:rFonts w:ascii="宋体" w:hAnsi="宋体"/>
          <w:color w:val="000000" w:themeColor="text1"/>
          <w:kern w:val="0"/>
          <w:sz w:val="24"/>
          <w:szCs w:val="24"/>
          <w:u w:val="single"/>
          <w14:textFill>
            <w14:solidFill>
              <w14:schemeClr w14:val="tx1"/>
            </w14:solidFill>
          </w14:textFill>
        </w:rPr>
        <w:tab/>
      </w:r>
    </w:p>
    <w:p w14:paraId="2BDFFA7E">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39C8A1BF">
      <w:pPr>
        <w:widowControl/>
        <w:tabs>
          <w:tab w:val="left" w:pos="851"/>
          <w:tab w:val="left" w:pos="1995"/>
          <w:tab w:val="left" w:pos="3260"/>
          <w:tab w:val="left" w:pos="4840"/>
          <w:tab w:val="left" w:pos="6300"/>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姓名：</w:t>
      </w:r>
      <w:r>
        <w:rPr>
          <w:rFonts w:ascii="宋体" w:hAnsi="宋体"/>
          <w:color w:val="000000" w:themeColor="text1"/>
          <w:kern w:val="0"/>
          <w:sz w:val="24"/>
          <w:szCs w:val="24"/>
          <w:u w:val="single"/>
          <w14:textFill>
            <w14:solidFill>
              <w14:schemeClr w14:val="tx1"/>
            </w14:solidFill>
          </w14:textFill>
        </w:rPr>
        <w:tab/>
      </w:r>
      <w:r>
        <w:rPr>
          <w:rFonts w:hint="eastAsia" w:ascii="宋体" w:hAnsi="宋体" w:cs="MingLiU"/>
          <w:color w:val="000000" w:themeColor="text1"/>
          <w:kern w:val="0"/>
          <w:sz w:val="24"/>
          <w:szCs w:val="24"/>
          <w14:textFill>
            <w14:solidFill>
              <w14:schemeClr w14:val="tx1"/>
            </w14:solidFill>
          </w14:textFill>
        </w:rPr>
        <w:t>性别</w:t>
      </w:r>
      <w:r>
        <w:rPr>
          <w:rFonts w:hint="eastAsia" w:ascii="宋体" w:hAnsi="宋体" w:cs="MingLiU"/>
          <w:color w:val="000000" w:themeColor="text1"/>
          <w:spacing w:val="-1"/>
          <w:kern w:val="0"/>
          <w:sz w:val="24"/>
          <w:szCs w:val="24"/>
          <w14:textFill>
            <w14:solidFill>
              <w14:schemeClr w14:val="tx1"/>
            </w14:solidFill>
          </w14:textFill>
        </w:rPr>
        <w:t>：</w:t>
      </w:r>
      <w:r>
        <w:rPr>
          <w:rFonts w:hint="eastAsia" w:ascii="宋体" w:hAnsi="宋体" w:cs="MingLiU"/>
          <w:color w:val="000000" w:themeColor="text1"/>
          <w:spacing w:val="-1"/>
          <w:kern w:val="0"/>
          <w:sz w:val="24"/>
          <w:szCs w:val="24"/>
          <w:u w:val="single"/>
          <w14:textFill>
            <w14:solidFill>
              <w14:schemeClr w14:val="tx1"/>
            </w14:solidFill>
          </w14:textFill>
        </w:rPr>
        <w:t xml:space="preserve">      </w:t>
      </w:r>
      <w:r>
        <w:rPr>
          <w:rFonts w:hint="eastAsia" w:ascii="宋体" w:hAnsi="宋体" w:cs="MingLiU"/>
          <w:color w:val="000000" w:themeColor="text1"/>
          <w:spacing w:val="-1"/>
          <w:kern w:val="0"/>
          <w:sz w:val="24"/>
          <w:szCs w:val="24"/>
          <w14:textFill>
            <w14:solidFill>
              <w14:schemeClr w14:val="tx1"/>
            </w14:solidFill>
          </w14:textFill>
        </w:rPr>
        <w:t>年</w:t>
      </w:r>
      <w:r>
        <w:rPr>
          <w:rFonts w:hint="eastAsia" w:ascii="宋体" w:hAnsi="宋体" w:cs="MingLiU"/>
          <w:color w:val="000000" w:themeColor="text1"/>
          <w:kern w:val="0"/>
          <w:sz w:val="24"/>
          <w:szCs w:val="24"/>
          <w14:textFill>
            <w14:solidFill>
              <w14:schemeClr w14:val="tx1"/>
            </w14:solidFill>
          </w14:textFill>
        </w:rPr>
        <w:t>龄：</w:t>
      </w:r>
      <w:r>
        <w:rPr>
          <w:rFonts w:ascii="宋体" w:hAnsi="宋体"/>
          <w:color w:val="000000" w:themeColor="text1"/>
          <w:kern w:val="0"/>
          <w:sz w:val="24"/>
          <w:szCs w:val="24"/>
          <w:u w:val="single"/>
          <w14:textFill>
            <w14:solidFill>
              <w14:schemeClr w14:val="tx1"/>
            </w14:solidFill>
          </w14:textFill>
        </w:rPr>
        <w:tab/>
      </w:r>
      <w:r>
        <w:rPr>
          <w:rFonts w:hint="eastAsia" w:ascii="宋体" w:hAnsi="宋体" w:cs="MingLiU"/>
          <w:color w:val="000000" w:themeColor="text1"/>
          <w:kern w:val="0"/>
          <w:sz w:val="24"/>
          <w:szCs w:val="24"/>
          <w14:textFill>
            <w14:solidFill>
              <w14:schemeClr w14:val="tx1"/>
            </w14:solidFill>
          </w14:textFill>
        </w:rPr>
        <w:t>职务：</w:t>
      </w:r>
      <w:r>
        <w:rPr>
          <w:rFonts w:ascii="宋体" w:hAnsi="宋体"/>
          <w:color w:val="000000" w:themeColor="text1"/>
          <w:kern w:val="0"/>
          <w:sz w:val="24"/>
          <w:szCs w:val="24"/>
          <w:u w:val="single"/>
          <w14:textFill>
            <w14:solidFill>
              <w14:schemeClr w14:val="tx1"/>
            </w14:solidFill>
          </w14:textFill>
        </w:rPr>
        <w:tab/>
      </w:r>
    </w:p>
    <w:p w14:paraId="474B35CB">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6E3114A9">
      <w:pPr>
        <w:widowControl/>
        <w:tabs>
          <w:tab w:val="left" w:pos="3360"/>
        </w:tabs>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系</w:t>
      </w:r>
      <w:r>
        <w:rPr>
          <w:rFonts w:ascii="宋体" w:hAnsi="宋体"/>
          <w:color w:val="000000" w:themeColor="text1"/>
          <w:kern w:val="0"/>
          <w:sz w:val="24"/>
          <w:szCs w:val="24"/>
          <w:u w:val="single"/>
          <w14:textFill>
            <w14:solidFill>
              <w14:schemeClr w14:val="tx1"/>
            </w14:solidFill>
          </w14:textFill>
        </w:rPr>
        <w:tab/>
      </w:r>
      <w:r>
        <w:rPr>
          <w:rFonts w:hint="eastAsia" w:ascii="宋体" w:hAnsi="宋体" w:cs="MingLiU"/>
          <w:color w:val="000000" w:themeColor="text1"/>
          <w:kern w:val="0"/>
          <w:sz w:val="24"/>
          <w:szCs w:val="24"/>
          <w14:textFill>
            <w14:solidFill>
              <w14:schemeClr w14:val="tx1"/>
            </w14:solidFill>
          </w14:textFill>
        </w:rPr>
        <w:t>（投标人名称）的法定代表人。</w:t>
      </w:r>
    </w:p>
    <w:p w14:paraId="77E654D0">
      <w:pPr>
        <w:widowControl/>
        <w:autoSpaceDE w:val="0"/>
        <w:autoSpaceDN w:val="0"/>
        <w:adjustRightInd w:val="0"/>
        <w:snapToGrid w:val="0"/>
        <w:spacing w:line="360" w:lineRule="auto"/>
        <w:ind w:firstLine="446" w:firstLineChars="186"/>
        <w:jc w:val="left"/>
        <w:rPr>
          <w:rFonts w:ascii="宋体" w:hAnsi="宋体" w:cs="MingLiU"/>
          <w:color w:val="000000" w:themeColor="text1"/>
          <w:kern w:val="0"/>
          <w:sz w:val="24"/>
          <w:szCs w:val="24"/>
          <w14:textFill>
            <w14:solidFill>
              <w14:schemeClr w14:val="tx1"/>
            </w14:solidFill>
          </w14:textFill>
        </w:rPr>
      </w:pPr>
    </w:p>
    <w:p w14:paraId="39B42DBA">
      <w:pPr>
        <w:widowControl/>
        <w:autoSpaceDE w:val="0"/>
        <w:autoSpaceDN w:val="0"/>
        <w:adjustRightInd w:val="0"/>
        <w:snapToGrid w:val="0"/>
        <w:spacing w:line="360" w:lineRule="auto"/>
        <w:ind w:firstLine="480" w:firstLineChars="200"/>
        <w:jc w:val="left"/>
        <w:rPr>
          <w:rFonts w:hint="eastAsia" w:ascii="宋体" w:hAnsi="宋体" w:cs="MingLiU"/>
          <w:color w:val="000000" w:themeColor="text1"/>
          <w:kern w:val="0"/>
          <w:sz w:val="24"/>
          <w:szCs w:val="24"/>
          <w14:textFill>
            <w14:solidFill>
              <w14:schemeClr w14:val="tx1"/>
            </w14:solidFill>
          </w14:textFill>
        </w:rPr>
      </w:pPr>
      <w:r>
        <w:rPr>
          <w:rFonts w:hint="eastAsia" w:ascii="宋体" w:hAnsi="宋体" w:cs="MingLiU"/>
          <w:color w:val="000000" w:themeColor="text1"/>
          <w:kern w:val="0"/>
          <w:sz w:val="24"/>
          <w:szCs w:val="24"/>
          <w14:textFill>
            <w14:solidFill>
              <w14:schemeClr w14:val="tx1"/>
            </w14:solidFill>
          </w14:textFill>
        </w:rPr>
        <w:t>特此证明。</w:t>
      </w:r>
    </w:p>
    <w:p w14:paraId="57B81FC3">
      <w:pPr>
        <w:widowControl/>
        <w:autoSpaceDE w:val="0"/>
        <w:autoSpaceDN w:val="0"/>
        <w:adjustRightInd w:val="0"/>
        <w:snapToGrid w:val="0"/>
        <w:spacing w:line="360" w:lineRule="auto"/>
        <w:ind w:firstLine="480" w:firstLineChars="200"/>
        <w:jc w:val="left"/>
        <w:rPr>
          <w:rFonts w:hint="eastAsia" w:ascii="宋体" w:hAnsi="宋体" w:cs="MingLiU"/>
          <w:color w:val="000000" w:themeColor="text1"/>
          <w:kern w:val="0"/>
          <w:sz w:val="24"/>
          <w:szCs w:val="24"/>
          <w14:textFill>
            <w14:solidFill>
              <w14:schemeClr w14:val="tx1"/>
            </w14:solidFill>
          </w14:textFill>
        </w:rPr>
      </w:pPr>
    </w:p>
    <w:p w14:paraId="2FDBAC10">
      <w:pPr>
        <w:widowControl/>
        <w:autoSpaceDE w:val="0"/>
        <w:autoSpaceDN w:val="0"/>
        <w:adjustRightInd w:val="0"/>
        <w:snapToGrid w:val="0"/>
        <w:spacing w:line="360" w:lineRule="auto"/>
        <w:ind w:firstLine="480" w:firstLineChars="200"/>
        <w:jc w:val="left"/>
        <w:rPr>
          <w:rFonts w:hint="eastAsia" w:ascii="宋体" w:hAnsi="宋体" w:cs="MingLiU"/>
          <w:color w:val="000000" w:themeColor="text1"/>
          <w:kern w:val="0"/>
          <w:sz w:val="24"/>
          <w:szCs w:val="24"/>
          <w14:textFill>
            <w14:solidFill>
              <w14:schemeClr w14:val="tx1"/>
            </w14:solidFill>
          </w14:textFill>
        </w:rPr>
      </w:pPr>
    </w:p>
    <w:p w14:paraId="2939958C">
      <w:pPr>
        <w:keepNext w:val="0"/>
        <w:keepLines w:val="0"/>
        <w:pageBreakBefore w:val="0"/>
        <w:widowControl/>
        <w:tabs>
          <w:tab w:val="left" w:pos="428"/>
        </w:tabs>
        <w:kinsoku/>
        <w:wordWrap/>
        <w:overflowPunct/>
        <w:topLinePunct w:val="0"/>
        <w:autoSpaceDE/>
        <w:autoSpaceDN/>
        <w:bidi w:val="0"/>
        <w:adjustRightInd/>
        <w:snapToGrid/>
        <w:spacing w:line="480" w:lineRule="auto"/>
        <w:ind w:left="3780" w:leftChars="1800"/>
        <w:jc w:val="left"/>
        <w:textAlignment w:val="auto"/>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投标人：（盖章）</w:t>
      </w:r>
    </w:p>
    <w:p w14:paraId="445B7B15">
      <w:pPr>
        <w:keepNext w:val="0"/>
        <w:keepLines w:val="0"/>
        <w:pageBreakBefore w:val="0"/>
        <w:widowControl/>
        <w:kinsoku/>
        <w:wordWrap/>
        <w:overflowPunct/>
        <w:topLinePunct w:val="0"/>
        <w:autoSpaceDE/>
        <w:autoSpaceDN/>
        <w:bidi w:val="0"/>
        <w:adjustRightInd/>
        <w:snapToGrid/>
        <w:spacing w:line="480" w:lineRule="auto"/>
        <w:ind w:left="3780" w:leftChars="1800"/>
        <w:jc w:val="left"/>
        <w:textAlignment w:val="auto"/>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法定代表人：（签字</w:t>
      </w:r>
      <w:r>
        <w:rPr>
          <w:rFonts w:hint="eastAsia" w:ascii="宋体" w:hAnsi="宋体"/>
          <w:color w:val="000000" w:themeColor="text1"/>
          <w:kern w:val="0"/>
          <w:sz w:val="24"/>
          <w:szCs w:val="24"/>
          <w:lang w:val="en-US" w:eastAsia="zh-CN"/>
          <w14:textFill>
            <w14:solidFill>
              <w14:schemeClr w14:val="tx1"/>
            </w14:solidFill>
          </w14:textFill>
        </w:rPr>
        <w:t>或</w:t>
      </w:r>
      <w:r>
        <w:rPr>
          <w:rFonts w:hint="eastAsia" w:ascii="宋体" w:hAnsi="宋体"/>
          <w:color w:val="000000" w:themeColor="text1"/>
          <w:kern w:val="0"/>
          <w:sz w:val="24"/>
          <w:szCs w:val="24"/>
          <w14:textFill>
            <w14:solidFill>
              <w14:schemeClr w14:val="tx1"/>
            </w14:solidFill>
          </w14:textFill>
        </w:rPr>
        <w:t>盖章）</w:t>
      </w:r>
    </w:p>
    <w:p w14:paraId="5D562488">
      <w:pPr>
        <w:keepNext w:val="0"/>
        <w:keepLines w:val="0"/>
        <w:pageBreakBefore w:val="0"/>
        <w:widowControl/>
        <w:kinsoku/>
        <w:wordWrap/>
        <w:overflowPunct/>
        <w:topLinePunct w:val="0"/>
        <w:autoSpaceDE/>
        <w:autoSpaceDN/>
        <w:bidi w:val="0"/>
        <w:adjustRightInd/>
        <w:snapToGrid/>
        <w:spacing w:line="480" w:lineRule="auto"/>
        <w:ind w:left="3780" w:leftChars="1800" w:right="420"/>
        <w:textAlignment w:val="auto"/>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   年   月   日</w:t>
      </w:r>
    </w:p>
    <w:p w14:paraId="77A3A75D">
      <w:pPr>
        <w:widowControl/>
        <w:spacing w:line="300" w:lineRule="auto"/>
        <w:jc w:val="left"/>
        <w:rPr>
          <w:rFonts w:ascii="宋体" w:hAnsi="宋体"/>
          <w:color w:val="000000" w:themeColor="text1"/>
          <w:sz w:val="24"/>
          <w:szCs w:val="24"/>
          <w14:textFill>
            <w14:solidFill>
              <w14:schemeClr w14:val="tx1"/>
            </w14:solidFill>
          </w14:textFill>
        </w:rPr>
      </w:pPr>
    </w:p>
    <w:p w14:paraId="519E1DB0">
      <w:pPr>
        <w:widowControl/>
        <w:spacing w:line="300" w:lineRule="auto"/>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（该处粘贴法定代表人身份证复印件）</w:t>
      </w:r>
    </w:p>
    <w:p w14:paraId="0F64EE20">
      <w:pPr>
        <w:widowControl/>
        <w:jc w:val="left"/>
        <w:rPr>
          <w:rFonts w:ascii="宋体" w:hAnsi="宋体"/>
          <w:b/>
          <w:color w:val="000000" w:themeColor="text1"/>
          <w:sz w:val="24"/>
          <w:szCs w:val="24"/>
          <w14:textFill>
            <w14:solidFill>
              <w14:schemeClr w14:val="tx1"/>
            </w14:solidFill>
          </w14:textFill>
        </w:rPr>
      </w:pPr>
    </w:p>
    <w:p w14:paraId="3D84529A">
      <w:pPr>
        <w:keepNext w:val="0"/>
        <w:keepLines w:val="0"/>
        <w:pageBreakBefore w:val="0"/>
        <w:widowControl/>
        <w:kinsoku/>
        <w:wordWrap/>
        <w:overflowPunct/>
        <w:topLinePunct w:val="0"/>
        <w:autoSpaceDE/>
        <w:autoSpaceDN/>
        <w:bidi w:val="0"/>
        <w:adjustRightInd/>
        <w:snapToGrid/>
        <w:spacing w:line="360" w:lineRule="auto"/>
        <w:ind w:left="4200" w:leftChars="2000"/>
        <w:jc w:val="left"/>
        <w:textAlignment w:val="auto"/>
        <w:rPr>
          <w:rFonts w:ascii="宋体" w:hAnsi="宋体"/>
          <w:color w:val="000000" w:themeColor="text1"/>
          <w:sz w:val="24"/>
          <w:szCs w:val="24"/>
          <w14:textFill>
            <w14:solidFill>
              <w14:schemeClr w14:val="tx1"/>
            </w14:solidFill>
          </w14:textFill>
        </w:rPr>
        <w:sectPr>
          <w:pgSz w:w="11906" w:h="16838"/>
          <w:pgMar w:top="1134" w:right="1134" w:bottom="1134" w:left="1418" w:header="567" w:footer="567" w:gutter="0"/>
          <w:pgNumType w:fmt="decimal"/>
          <w:cols w:space="425" w:num="1"/>
          <w:docGrid w:linePitch="312" w:charSpace="0"/>
        </w:sectPr>
      </w:pPr>
    </w:p>
    <w:p w14:paraId="689E3994">
      <w:pPr>
        <w:pStyle w:val="4"/>
        <w:jc w:val="center"/>
        <w:rPr>
          <w:rFonts w:ascii="宋体" w:hAnsi="宋体"/>
          <w:color w:val="000000" w:themeColor="text1"/>
          <w:kern w:val="0"/>
          <w:szCs w:val="21"/>
          <w14:textFill>
            <w14:solidFill>
              <w14:schemeClr w14:val="tx1"/>
            </w14:solidFill>
          </w14:textFill>
        </w:rPr>
      </w:pPr>
      <w:bookmarkStart w:id="226" w:name="_Toc24937"/>
      <w:bookmarkStart w:id="227" w:name="_Toc1345"/>
      <w:bookmarkStart w:id="228" w:name="_Toc18141"/>
      <w:bookmarkStart w:id="229" w:name="_Toc27951"/>
      <w:bookmarkStart w:id="230" w:name="_Toc2170"/>
      <w:bookmarkStart w:id="231" w:name="_Toc6715"/>
      <w:bookmarkStart w:id="232" w:name="_Toc28606"/>
      <w:bookmarkStart w:id="233" w:name="_Toc8491"/>
      <w:r>
        <w:rPr>
          <w:rFonts w:hint="eastAsia" w:ascii="宋体" w:hAnsi="宋体"/>
          <w:color w:val="000000" w:themeColor="text1"/>
          <w:kern w:val="0"/>
          <w:lang w:eastAsia="zh-CN"/>
          <w14:textFill>
            <w14:solidFill>
              <w14:schemeClr w14:val="tx1"/>
            </w14:solidFill>
          </w14:textFill>
        </w:rPr>
        <w:t>三</w:t>
      </w:r>
      <w:r>
        <w:rPr>
          <w:rFonts w:hint="eastAsia" w:ascii="宋体" w:hAnsi="宋体"/>
          <w:color w:val="000000" w:themeColor="text1"/>
          <w:kern w:val="0"/>
          <w14:textFill>
            <w14:solidFill>
              <w14:schemeClr w14:val="tx1"/>
            </w14:solidFill>
          </w14:textFill>
        </w:rPr>
        <w:t>、法定代表人授权委托书</w:t>
      </w:r>
      <w:bookmarkEnd w:id="226"/>
      <w:bookmarkEnd w:id="227"/>
      <w:bookmarkEnd w:id="228"/>
      <w:bookmarkEnd w:id="229"/>
      <w:bookmarkEnd w:id="230"/>
      <w:bookmarkEnd w:id="231"/>
      <w:bookmarkEnd w:id="232"/>
      <w:bookmarkEnd w:id="233"/>
    </w:p>
    <w:p w14:paraId="617B591F">
      <w:pPr>
        <w:keepNext w:val="0"/>
        <w:keepLines w:val="0"/>
        <w:pageBreakBefore w:val="0"/>
        <w:widowControl/>
        <w:kinsoku/>
        <w:wordWrap/>
        <w:overflowPunct/>
        <w:topLinePunct w:val="0"/>
        <w:autoSpaceDE/>
        <w:autoSpaceDN/>
        <w:bidi w:val="0"/>
        <w:adjustRightInd/>
        <w:snapToGrid/>
        <w:spacing w:line="480" w:lineRule="auto"/>
        <w:ind w:left="210" w:leftChars="100" w:firstLine="283"/>
        <w:jc w:val="left"/>
        <w:textAlignment w:val="auto"/>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本授权委托书声明：我（姓名</w:t>
      </w:r>
      <w:r>
        <w:rPr>
          <w:rFonts w:hint="eastAsia" w:ascii="宋体" w:hAnsi="宋体"/>
          <w:color w:val="000000" w:themeColor="text1"/>
          <w:kern w:val="0"/>
          <w:sz w:val="24"/>
          <w:szCs w:val="24"/>
          <w:u w:val="single"/>
          <w14:textFill>
            <w14:solidFill>
              <w14:schemeClr w14:val="tx1"/>
            </w14:solidFill>
          </w14:textFill>
        </w:rPr>
        <w:t xml:space="preserve">     </w:t>
      </w:r>
      <w:r>
        <w:rPr>
          <w:rFonts w:hint="eastAsia" w:ascii="宋体" w:hAnsi="宋体"/>
          <w:color w:val="000000" w:themeColor="text1"/>
          <w:kern w:val="0"/>
          <w:sz w:val="24"/>
          <w:szCs w:val="24"/>
          <w14:textFill>
            <w14:solidFill>
              <w14:schemeClr w14:val="tx1"/>
            </w14:solidFill>
          </w14:textFill>
        </w:rPr>
        <w:t>）系（投标人名称</w:t>
      </w:r>
      <w:r>
        <w:rPr>
          <w:rFonts w:hint="eastAsia" w:ascii="宋体" w:hAnsi="宋体"/>
          <w:color w:val="000000" w:themeColor="text1"/>
          <w:kern w:val="0"/>
          <w:sz w:val="24"/>
          <w:szCs w:val="24"/>
          <w:u w:val="single"/>
          <w14:textFill>
            <w14:solidFill>
              <w14:schemeClr w14:val="tx1"/>
            </w14:solidFill>
          </w14:textFill>
        </w:rPr>
        <w:t xml:space="preserve">                     </w:t>
      </w:r>
      <w:r>
        <w:rPr>
          <w:rFonts w:hint="eastAsia" w:ascii="宋体" w:hAnsi="宋体"/>
          <w:color w:val="000000" w:themeColor="text1"/>
          <w:kern w:val="0"/>
          <w:sz w:val="24"/>
          <w:szCs w:val="24"/>
          <w14:textFill>
            <w14:solidFill>
              <w14:schemeClr w14:val="tx1"/>
            </w14:solidFill>
          </w14:textFill>
        </w:rPr>
        <w:t>）的法定代表人，现授权委托（单位名称）的（姓名）为我公司唯一代理人，代表本公司参加</w:t>
      </w:r>
      <w:r>
        <w:rPr>
          <w:rFonts w:hint="eastAsia" w:ascii="宋体" w:hAnsi="宋体"/>
          <w:color w:val="000000" w:themeColor="text1"/>
          <w:kern w:val="0"/>
          <w:sz w:val="24"/>
          <w:szCs w:val="24"/>
          <w:u w:val="single"/>
          <w:lang w:val="en-US" w:eastAsia="zh-CN"/>
          <w14:textFill>
            <w14:solidFill>
              <w14:schemeClr w14:val="tx1"/>
            </w14:solidFill>
          </w14:textFill>
        </w:rPr>
        <w:t>重庆海联职业技术学院</w:t>
      </w:r>
      <w:r>
        <w:rPr>
          <w:rFonts w:hint="eastAsia" w:ascii="宋体" w:hAnsi="宋体"/>
          <w:color w:val="000000" w:themeColor="text1"/>
          <w:kern w:val="0"/>
          <w:sz w:val="24"/>
          <w:szCs w:val="24"/>
          <w14:textFill>
            <w14:solidFill>
              <w14:schemeClr w14:val="tx1"/>
            </w14:solidFill>
          </w14:textFill>
        </w:rPr>
        <w:t>（招标人）</w:t>
      </w:r>
      <w:r>
        <w:rPr>
          <w:rFonts w:hint="eastAsia" w:ascii="宋体" w:hAnsi="宋体" w:cs="Times New Roman"/>
          <w:color w:val="000000" w:themeColor="text1"/>
          <w:kern w:val="0"/>
          <w:sz w:val="24"/>
          <w:szCs w:val="24"/>
          <w:u w:val="single"/>
          <w:lang w:val="en-US" w:eastAsia="zh-CN"/>
          <w14:textFill>
            <w14:solidFill>
              <w14:schemeClr w14:val="tx1"/>
            </w14:solidFill>
          </w14:textFill>
        </w:rPr>
        <w:t xml:space="preserve">重庆海联职业技术学院两江校区项目监理咨询服务 </w:t>
      </w:r>
      <w:r>
        <w:rPr>
          <w:rFonts w:hint="eastAsia" w:ascii="宋体" w:hAnsi="宋体"/>
          <w:bCs/>
          <w:color w:val="000000" w:themeColor="text1"/>
          <w:kern w:val="0"/>
          <w:sz w:val="24"/>
          <w:szCs w:val="24"/>
          <w:u w:val="none"/>
          <w14:textFill>
            <w14:solidFill>
              <w14:schemeClr w14:val="tx1"/>
            </w14:solidFill>
          </w14:textFill>
        </w:rPr>
        <w:t>（招标工程）</w:t>
      </w:r>
      <w:r>
        <w:rPr>
          <w:rFonts w:hint="eastAsia" w:ascii="宋体" w:hAnsi="宋体"/>
          <w:color w:val="000000" w:themeColor="text1"/>
          <w:kern w:val="0"/>
          <w:sz w:val="24"/>
          <w:szCs w:val="24"/>
          <w14:textFill>
            <w14:solidFill>
              <w14:schemeClr w14:val="tx1"/>
            </w14:solidFill>
          </w14:textFill>
        </w:rPr>
        <w:t>的投标活动。代理人在投标、开标、评标、合同签署等过程中所签署的一切文件和处理与之有关的一切事务，我均予以承认。</w:t>
      </w:r>
    </w:p>
    <w:p w14:paraId="5BA07072">
      <w:pPr>
        <w:widowControl/>
        <w:spacing w:line="480" w:lineRule="auto"/>
        <w:ind w:left="420" w:leftChars="200" w:firstLine="420"/>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代理人无转委权。特此委托。</w:t>
      </w:r>
    </w:p>
    <w:p w14:paraId="49AC0465">
      <w:pPr>
        <w:widowControl/>
        <w:spacing w:line="480" w:lineRule="auto"/>
        <w:ind w:firstLine="960" w:firstLineChars="400"/>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代理人：               性别：               年龄：</w:t>
      </w:r>
    </w:p>
    <w:p w14:paraId="33AD6BA4">
      <w:pPr>
        <w:widowControl/>
        <w:spacing w:line="480" w:lineRule="auto"/>
        <w:ind w:firstLine="960" w:firstLineChars="400"/>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单  位：               部门：               职务：</w:t>
      </w:r>
    </w:p>
    <w:p w14:paraId="1325D7C6">
      <w:pPr>
        <w:widowControl/>
        <w:spacing w:line="480" w:lineRule="auto"/>
        <w:ind w:firstLine="960" w:firstLineChars="400"/>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投标人：（盖章）</w:t>
      </w:r>
    </w:p>
    <w:p w14:paraId="18977646">
      <w:pPr>
        <w:widowControl/>
        <w:spacing w:line="480" w:lineRule="auto"/>
        <w:ind w:firstLine="960" w:firstLineChars="400"/>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法定代表人：（签字</w:t>
      </w:r>
      <w:r>
        <w:rPr>
          <w:rFonts w:hint="eastAsia" w:ascii="宋体" w:hAnsi="宋体"/>
          <w:color w:val="000000" w:themeColor="text1"/>
          <w:kern w:val="0"/>
          <w:sz w:val="24"/>
          <w:szCs w:val="24"/>
          <w:lang w:val="en-US" w:eastAsia="zh-CN"/>
          <w14:textFill>
            <w14:solidFill>
              <w14:schemeClr w14:val="tx1"/>
            </w14:solidFill>
          </w14:textFill>
        </w:rPr>
        <w:t>或</w:t>
      </w:r>
      <w:r>
        <w:rPr>
          <w:rFonts w:hint="eastAsia" w:ascii="宋体" w:hAnsi="宋体"/>
          <w:color w:val="000000" w:themeColor="text1"/>
          <w:kern w:val="0"/>
          <w:sz w:val="24"/>
          <w:szCs w:val="24"/>
          <w14:textFill>
            <w14:solidFill>
              <w14:schemeClr w14:val="tx1"/>
            </w14:solidFill>
          </w14:textFill>
        </w:rPr>
        <w:t>盖章）</w:t>
      </w:r>
    </w:p>
    <w:p w14:paraId="37E4B1A8">
      <w:pPr>
        <w:widowControl/>
        <w:spacing w:line="480" w:lineRule="auto"/>
        <w:ind w:firstLine="960" w:firstLineChars="400"/>
        <w:jc w:val="left"/>
        <w:rPr>
          <w:rFonts w:ascii="宋体" w:hAnsi="宋体"/>
          <w:color w:val="000000" w:themeColor="text1"/>
          <w:kern w:val="0"/>
          <w:sz w:val="24"/>
          <w:szCs w:val="24"/>
          <w14:textFill>
            <w14:solidFill>
              <w14:schemeClr w14:val="tx1"/>
            </w14:solidFill>
          </w14:textFill>
        </w:rPr>
      </w:pPr>
    </w:p>
    <w:p w14:paraId="40C8E7D1">
      <w:pPr>
        <w:keepNext w:val="0"/>
        <w:keepLines w:val="0"/>
        <w:pageBreakBefore w:val="0"/>
        <w:widowControl/>
        <w:kinsoku/>
        <w:wordWrap/>
        <w:overflowPunct/>
        <w:topLinePunct w:val="0"/>
        <w:autoSpaceDE/>
        <w:autoSpaceDN/>
        <w:bidi w:val="0"/>
        <w:adjustRightInd/>
        <w:snapToGrid/>
        <w:spacing w:line="480" w:lineRule="auto"/>
        <w:ind w:left="3780" w:leftChars="1800"/>
        <w:jc w:val="left"/>
        <w:textAlignment w:val="auto"/>
        <w:rPr>
          <w:rFonts w:ascii="宋体" w:hAnsi="宋体"/>
          <w:color w:val="000000" w:themeColor="text1"/>
          <w:kern w:val="0"/>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日期：</w:t>
      </w: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年</w:t>
      </w: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月</w:t>
      </w: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日</w:t>
      </w:r>
    </w:p>
    <w:p w14:paraId="342C8062">
      <w:pPr>
        <w:widowControl/>
        <w:spacing w:line="480" w:lineRule="auto"/>
        <w:jc w:val="left"/>
        <w:rPr>
          <w:rFonts w:ascii="宋体" w:hAnsi="宋体"/>
          <w:color w:val="000000" w:themeColor="text1"/>
          <w:sz w:val="24"/>
          <w:szCs w:val="24"/>
          <w:u w:val="single"/>
          <w14:textFill>
            <w14:solidFill>
              <w14:schemeClr w14:val="tx1"/>
            </w14:solidFill>
          </w14:textFill>
        </w:rPr>
      </w:pPr>
    </w:p>
    <w:p w14:paraId="4A269C9D">
      <w:pPr>
        <w:widowControl/>
        <w:spacing w:line="300" w:lineRule="auto"/>
        <w:jc w:val="left"/>
        <w:rPr>
          <w:rFonts w:ascii="宋体" w:hAnsi="宋体"/>
          <w:color w:val="000000" w:themeColor="text1"/>
          <w:sz w:val="24"/>
          <w:szCs w:val="24"/>
          <w14:textFill>
            <w14:solidFill>
              <w14:schemeClr w14:val="tx1"/>
            </w14:solidFill>
          </w14:textFill>
        </w:rPr>
      </w:pPr>
    </w:p>
    <w:p w14:paraId="7466BF4C">
      <w:pPr>
        <w:widowControl/>
        <w:spacing w:line="300" w:lineRule="auto"/>
        <w:jc w:val="left"/>
        <w:rPr>
          <w:rFonts w:ascii="宋体" w:hAnsi="宋体"/>
          <w:color w:val="000000" w:themeColor="text1"/>
          <w:sz w:val="24"/>
          <w:szCs w:val="24"/>
          <w14:textFill>
            <w14:solidFill>
              <w14:schemeClr w14:val="tx1"/>
            </w14:solidFill>
          </w14:textFill>
        </w:rPr>
        <w:sectPr>
          <w:pgSz w:w="11906" w:h="16838"/>
          <w:pgMar w:top="1134" w:right="1134" w:bottom="1134" w:left="1418" w:header="567" w:footer="567" w:gutter="0"/>
          <w:pgNumType w:fmt="decimal"/>
          <w:cols w:space="425" w:num="1"/>
          <w:docGrid w:linePitch="312" w:charSpace="0"/>
        </w:sectPr>
      </w:pPr>
      <w:r>
        <w:rPr>
          <w:rFonts w:ascii="宋体" w:hAnsi="宋体"/>
          <w:color w:val="000000" w:themeColor="text1"/>
          <w:sz w:val="24"/>
          <w:szCs w:val="24"/>
          <w14:textFill>
            <w14:solidFill>
              <w14:schemeClr w14:val="tx1"/>
            </w14:solidFill>
          </w14:textFill>
        </w:rPr>
        <w:t>（该处粘贴代理人身份证复印件）</w:t>
      </w:r>
    </w:p>
    <w:p w14:paraId="6E255885">
      <w:pPr>
        <w:pStyle w:val="5"/>
        <w:pageBreakBefore w:val="0"/>
        <w:kinsoku/>
        <w:wordWrap/>
        <w:overflowPunct/>
        <w:topLinePunct w:val="0"/>
        <w:bidi w:val="0"/>
        <w:snapToGrid w:val="0"/>
        <w:spacing w:before="0" w:after="0" w:line="300" w:lineRule="auto"/>
        <w:jc w:val="center"/>
        <w:textAlignment w:val="auto"/>
        <w:rPr>
          <w:rFonts w:ascii="宋体" w:hAnsi="宋体" w:eastAsia="宋体"/>
          <w:sz w:val="30"/>
        </w:rPr>
      </w:pPr>
      <w:bookmarkStart w:id="234" w:name="_Toc4898"/>
      <w:bookmarkStart w:id="235" w:name="_Toc6094"/>
      <w:bookmarkStart w:id="236" w:name="_Toc852"/>
      <w:bookmarkStart w:id="237" w:name="_Toc1528"/>
      <w:bookmarkStart w:id="238" w:name="_Toc418604084"/>
      <w:bookmarkStart w:id="239" w:name="_Toc14731"/>
      <w:bookmarkStart w:id="240" w:name="_Toc5899"/>
      <w:bookmarkStart w:id="241" w:name="_Toc25372"/>
      <w:bookmarkStart w:id="242" w:name="_Toc13616"/>
      <w:bookmarkStart w:id="243" w:name="_Toc27996"/>
      <w:bookmarkStart w:id="244" w:name="_Toc6038"/>
      <w:bookmarkStart w:id="245" w:name="_Toc18221"/>
      <w:bookmarkStart w:id="246" w:name="_Toc28767"/>
      <w:bookmarkStart w:id="247" w:name="_Toc15921"/>
      <w:bookmarkStart w:id="248" w:name="_Toc7410"/>
      <w:r>
        <w:rPr>
          <w:rFonts w:hint="eastAsia" w:ascii="宋体" w:hAnsi="宋体" w:eastAsia="宋体"/>
          <w:sz w:val="30"/>
        </w:rPr>
        <w:t>四、投标人基本情况表</w:t>
      </w:r>
      <w:bookmarkEnd w:id="234"/>
      <w:bookmarkEnd w:id="235"/>
      <w:bookmarkEnd w:id="236"/>
      <w:bookmarkEnd w:id="237"/>
      <w:bookmarkEnd w:id="238"/>
      <w:bookmarkEnd w:id="239"/>
      <w:bookmarkEnd w:id="240"/>
    </w:p>
    <w:tbl>
      <w:tblPr>
        <w:tblStyle w:val="42"/>
        <w:tblW w:w="9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0"/>
      </w:tblGrid>
      <w:tr w14:paraId="21A2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1" w:hRule="atLeast"/>
        </w:trPr>
        <w:tc>
          <w:tcPr>
            <w:tcW w:w="9500" w:type="dxa"/>
          </w:tcPr>
          <w:tbl>
            <w:tblPr>
              <w:tblStyle w:val="41"/>
              <w:tblpPr w:leftFromText="180" w:rightFromText="180" w:vertAnchor="text" w:horzAnchor="page" w:tblpX="338" w:tblpY="-11285"/>
              <w:tblOverlap w:val="never"/>
              <w:tblW w:w="100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789"/>
              <w:gridCol w:w="1281"/>
              <w:gridCol w:w="1711"/>
              <w:gridCol w:w="250"/>
              <w:gridCol w:w="1000"/>
              <w:gridCol w:w="1105"/>
              <w:gridCol w:w="345"/>
              <w:gridCol w:w="2504"/>
            </w:tblGrid>
            <w:tr w14:paraId="06EC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Align w:val="center"/>
                </w:tcPr>
                <w:p w14:paraId="560AC27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企业名称</w:t>
                  </w:r>
                </w:p>
              </w:tc>
              <w:tc>
                <w:tcPr>
                  <w:tcW w:w="4242" w:type="dxa"/>
                  <w:gridSpan w:val="4"/>
                </w:tcPr>
                <w:p w14:paraId="13920F1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450" w:type="dxa"/>
                  <w:gridSpan w:val="2"/>
                  <w:vAlign w:val="center"/>
                </w:tcPr>
                <w:p w14:paraId="47C7E95B">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建立日期</w:t>
                  </w:r>
                </w:p>
              </w:tc>
              <w:tc>
                <w:tcPr>
                  <w:tcW w:w="2504" w:type="dxa"/>
                </w:tcPr>
                <w:p w14:paraId="4527FF2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0106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Align w:val="center"/>
                </w:tcPr>
                <w:p w14:paraId="33BBB55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地    址</w:t>
                  </w:r>
                </w:p>
              </w:tc>
              <w:tc>
                <w:tcPr>
                  <w:tcW w:w="4242" w:type="dxa"/>
                  <w:gridSpan w:val="4"/>
                </w:tcPr>
                <w:p w14:paraId="3914437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450" w:type="dxa"/>
                  <w:gridSpan w:val="2"/>
                  <w:vAlign w:val="center"/>
                </w:tcPr>
                <w:p w14:paraId="469FADD9">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企业性质</w:t>
                  </w:r>
                </w:p>
              </w:tc>
              <w:tc>
                <w:tcPr>
                  <w:tcW w:w="2504" w:type="dxa"/>
                </w:tcPr>
                <w:p w14:paraId="394338E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181A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Align w:val="center"/>
                </w:tcPr>
                <w:p w14:paraId="0240DE45">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注册资金</w:t>
                  </w:r>
                </w:p>
              </w:tc>
              <w:tc>
                <w:tcPr>
                  <w:tcW w:w="4242" w:type="dxa"/>
                  <w:gridSpan w:val="4"/>
                </w:tcPr>
                <w:p w14:paraId="4D4F545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450" w:type="dxa"/>
                  <w:gridSpan w:val="2"/>
                  <w:vAlign w:val="center"/>
                </w:tcPr>
                <w:p w14:paraId="5A41F4A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资质等级</w:t>
                  </w:r>
                </w:p>
              </w:tc>
              <w:tc>
                <w:tcPr>
                  <w:tcW w:w="2504" w:type="dxa"/>
                </w:tcPr>
                <w:p w14:paraId="1147A01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647E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Align w:val="center"/>
                </w:tcPr>
                <w:p w14:paraId="3624B737">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经营范围</w:t>
                  </w:r>
                </w:p>
              </w:tc>
              <w:tc>
                <w:tcPr>
                  <w:tcW w:w="8196" w:type="dxa"/>
                  <w:gridSpan w:val="7"/>
                </w:tcPr>
                <w:p w14:paraId="4FA951D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7454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Merge w:val="restart"/>
                  <w:vAlign w:val="center"/>
                </w:tcPr>
                <w:p w14:paraId="55673192">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企业</w:t>
                  </w:r>
                </w:p>
                <w:p w14:paraId="14C070A7">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职工</w:t>
                  </w:r>
                </w:p>
                <w:p w14:paraId="4CC50A1D">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总数</w:t>
                  </w:r>
                </w:p>
              </w:tc>
              <w:tc>
                <w:tcPr>
                  <w:tcW w:w="1281" w:type="dxa"/>
                  <w:vMerge w:val="restart"/>
                </w:tcPr>
                <w:p w14:paraId="28C274A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6915" w:type="dxa"/>
                  <w:gridSpan w:val="6"/>
                  <w:vAlign w:val="center"/>
                </w:tcPr>
                <w:p w14:paraId="76942912">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lang w:val="en-US" w:eastAsia="zh-CN"/>
                    </w:rPr>
                    <w:t>监理</w:t>
                  </w:r>
                  <w:r>
                    <w:rPr>
                      <w:rFonts w:hint="eastAsia" w:ascii="宋体" w:hAnsi="宋体" w:eastAsia="宋体" w:cs="宋体"/>
                      <w:snapToGrid w:val="0"/>
                      <w:kern w:val="0"/>
                      <w:sz w:val="24"/>
                      <w:szCs w:val="24"/>
                    </w:rPr>
                    <w:t>专职</w:t>
                  </w:r>
                  <w:r>
                    <w:rPr>
                      <w:rFonts w:hint="eastAsia" w:ascii="宋体" w:hAnsi="宋体" w:eastAsia="宋体" w:cs="宋体"/>
                      <w:snapToGrid w:val="0"/>
                      <w:kern w:val="0"/>
                      <w:sz w:val="24"/>
                      <w:szCs w:val="24"/>
                      <w:lang w:eastAsia="en-US"/>
                    </w:rPr>
                    <w:t>人员</w:t>
                  </w:r>
                  <w:r>
                    <w:rPr>
                      <w:rFonts w:hint="eastAsia" w:ascii="宋体" w:hAnsi="宋体" w:eastAsia="宋体" w:cs="宋体"/>
                      <w:snapToGrid w:val="0"/>
                      <w:kern w:val="0"/>
                      <w:sz w:val="24"/>
                      <w:szCs w:val="24"/>
                    </w:rPr>
                    <w:t>人数</w:t>
                  </w:r>
                </w:p>
              </w:tc>
            </w:tr>
            <w:tr w14:paraId="0884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Merge w:val="continue"/>
                </w:tcPr>
                <w:p w14:paraId="00D2C20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281" w:type="dxa"/>
                  <w:vMerge w:val="continue"/>
                </w:tcPr>
                <w:p w14:paraId="708A75E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11" w:type="dxa"/>
                  <w:vAlign w:val="center"/>
                </w:tcPr>
                <w:p w14:paraId="6203A44C">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总数</w:t>
                  </w:r>
                </w:p>
              </w:tc>
              <w:tc>
                <w:tcPr>
                  <w:tcW w:w="1250" w:type="dxa"/>
                  <w:gridSpan w:val="2"/>
                  <w:vAlign w:val="center"/>
                </w:tcPr>
                <w:p w14:paraId="5CE4828B">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lang w:eastAsia="en-US"/>
                    </w:rPr>
                    <w:t>高级</w:t>
                  </w:r>
                  <w:r>
                    <w:rPr>
                      <w:rFonts w:hint="eastAsia" w:ascii="宋体" w:hAnsi="宋体" w:eastAsia="宋体" w:cs="宋体"/>
                      <w:snapToGrid w:val="0"/>
                      <w:kern w:val="0"/>
                      <w:sz w:val="24"/>
                      <w:szCs w:val="24"/>
                    </w:rPr>
                    <w:t>职称</w:t>
                  </w:r>
                </w:p>
              </w:tc>
              <w:tc>
                <w:tcPr>
                  <w:tcW w:w="1450" w:type="dxa"/>
                  <w:gridSpan w:val="2"/>
                  <w:vAlign w:val="center"/>
                </w:tcPr>
                <w:p w14:paraId="4F7115A9">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lang w:eastAsia="en-US"/>
                    </w:rPr>
                    <w:t>中级</w:t>
                  </w:r>
                  <w:r>
                    <w:rPr>
                      <w:rFonts w:hint="eastAsia" w:ascii="宋体" w:hAnsi="宋体" w:eastAsia="宋体" w:cs="宋体"/>
                      <w:snapToGrid w:val="0"/>
                      <w:kern w:val="0"/>
                      <w:sz w:val="24"/>
                      <w:szCs w:val="24"/>
                    </w:rPr>
                    <w:t>职称</w:t>
                  </w:r>
                </w:p>
              </w:tc>
              <w:tc>
                <w:tcPr>
                  <w:tcW w:w="2504" w:type="dxa"/>
                  <w:vAlign w:val="center"/>
                </w:tcPr>
                <w:p w14:paraId="7A973B3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注册</w:t>
                  </w:r>
                  <w:r>
                    <w:rPr>
                      <w:rFonts w:hint="eastAsia" w:ascii="宋体" w:hAnsi="宋体" w:eastAsia="宋体" w:cs="宋体"/>
                      <w:snapToGrid w:val="0"/>
                      <w:kern w:val="0"/>
                      <w:sz w:val="24"/>
                      <w:szCs w:val="24"/>
                      <w:lang w:val="en-US" w:eastAsia="zh-CN"/>
                    </w:rPr>
                    <w:t>监理</w:t>
                  </w:r>
                  <w:r>
                    <w:rPr>
                      <w:rFonts w:hint="eastAsia" w:ascii="宋体" w:hAnsi="宋体" w:eastAsia="宋体" w:cs="宋体"/>
                      <w:snapToGrid w:val="0"/>
                      <w:kern w:val="0"/>
                      <w:sz w:val="24"/>
                      <w:szCs w:val="24"/>
                      <w:lang w:eastAsia="en-US"/>
                    </w:rPr>
                    <w:t>师</w:t>
                  </w:r>
                </w:p>
              </w:tc>
            </w:tr>
            <w:tr w14:paraId="459B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853" w:type="dxa"/>
                  <w:gridSpan w:val="2"/>
                  <w:vMerge w:val="continue"/>
                </w:tcPr>
                <w:p w14:paraId="1F3B091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281" w:type="dxa"/>
                  <w:vMerge w:val="continue"/>
                </w:tcPr>
                <w:p w14:paraId="1C0C80C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11" w:type="dxa"/>
                </w:tcPr>
                <w:p w14:paraId="237BBDD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250" w:type="dxa"/>
                  <w:gridSpan w:val="2"/>
                </w:tcPr>
                <w:p w14:paraId="1045B65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450" w:type="dxa"/>
                  <w:gridSpan w:val="2"/>
                </w:tcPr>
                <w:p w14:paraId="651532F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504" w:type="dxa"/>
                </w:tcPr>
                <w:p w14:paraId="3BB25D5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1497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restart"/>
                  <w:vAlign w:val="center"/>
                </w:tcPr>
                <w:p w14:paraId="54AE357F">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主</w:t>
                  </w:r>
                </w:p>
                <w:p w14:paraId="6F72F3DC">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要</w:t>
                  </w:r>
                </w:p>
                <w:p w14:paraId="6229A958">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办</w:t>
                  </w:r>
                </w:p>
                <w:p w14:paraId="79F8B44D">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公</w:t>
                  </w:r>
                </w:p>
                <w:p w14:paraId="3148D4C2">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设</w:t>
                  </w:r>
                </w:p>
                <w:p w14:paraId="2C07723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备</w:t>
                  </w:r>
                </w:p>
                <w:p w14:paraId="704AAAC7">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与</w:t>
                  </w:r>
                </w:p>
                <w:p w14:paraId="489FCABB">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软</w:t>
                  </w:r>
                </w:p>
                <w:p w14:paraId="698D148F">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件</w:t>
                  </w:r>
                </w:p>
              </w:tc>
              <w:tc>
                <w:tcPr>
                  <w:tcW w:w="2070" w:type="dxa"/>
                  <w:gridSpan w:val="2"/>
                  <w:vAlign w:val="center"/>
                </w:tcPr>
                <w:p w14:paraId="2B6A362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设 备 名 称</w:t>
                  </w:r>
                </w:p>
              </w:tc>
              <w:tc>
                <w:tcPr>
                  <w:tcW w:w="1961" w:type="dxa"/>
                  <w:gridSpan w:val="2"/>
                  <w:vAlign w:val="center"/>
                </w:tcPr>
                <w:p w14:paraId="6B0F4A7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规 格 型 号</w:t>
                  </w:r>
                </w:p>
              </w:tc>
              <w:tc>
                <w:tcPr>
                  <w:tcW w:w="1000" w:type="dxa"/>
                  <w:vAlign w:val="center"/>
                </w:tcPr>
                <w:p w14:paraId="1DB934BC">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单位</w:t>
                  </w:r>
                </w:p>
              </w:tc>
              <w:tc>
                <w:tcPr>
                  <w:tcW w:w="1105" w:type="dxa"/>
                  <w:vAlign w:val="center"/>
                </w:tcPr>
                <w:p w14:paraId="071EAFFE">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数量</w:t>
                  </w:r>
                </w:p>
              </w:tc>
              <w:tc>
                <w:tcPr>
                  <w:tcW w:w="2849" w:type="dxa"/>
                  <w:gridSpan w:val="2"/>
                  <w:vAlign w:val="center"/>
                </w:tcPr>
                <w:p w14:paraId="74E2415C">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备   注</w:t>
                  </w:r>
                </w:p>
              </w:tc>
            </w:tr>
            <w:tr w14:paraId="5A27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0A73A36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41844BF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4203269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39F1924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6CB93C7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544EB8D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197D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5ED961F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Borders>
                    <w:bottom w:val="single" w:color="auto" w:sz="4" w:space="0"/>
                  </w:tcBorders>
                </w:tcPr>
                <w:p w14:paraId="6354F7A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7262DF4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130A8E9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2D3E6EC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4D704F3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5D9A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301A68B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Borders>
                    <w:top w:val="nil"/>
                  </w:tcBorders>
                </w:tcPr>
                <w:p w14:paraId="47DFB09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52BE417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15C6D60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2C5D2B3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433F1E4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59D3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012EB5F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4CE25DC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03CB771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3BE1AC3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5DEFB63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0DAD552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15EE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391B722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55187A0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11721CD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2803F05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0EE8702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5BE49A9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5715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1BA5B83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12B62B7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54AA52C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05932A7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0962887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54231BA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595F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2718520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798D408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028435C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41FBA3A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406E5F4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24D97A0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3D91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5C1EA48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401FD20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6E683CC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3005D85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549FDAE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18FCA1F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5997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68F0DFC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571DE04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555FA7F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36E5965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56C8630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7B0967E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272E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5DB8B50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42BFCFE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5840BCC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15480B4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1E5C430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5054190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1DB3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7900531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5DEA6EF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0A8E2E2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5FA6841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2DBB5D0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57A5847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0F06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447D9F3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52E2E6D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67EFECE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1C2AEEE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56266B7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7E59043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436A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05AFDD5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620E9E4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1783B7E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7CCE26B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755BC35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00ABB13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2289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064" w:type="dxa"/>
                  <w:vMerge w:val="continue"/>
                </w:tcPr>
                <w:p w14:paraId="2BDCFAF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53CD0ED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7BF7FCD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5AC1AE8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5C50616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5FA6BA7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0247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trPr>
              <w:tc>
                <w:tcPr>
                  <w:tcW w:w="1064" w:type="dxa"/>
                  <w:vMerge w:val="continue"/>
                </w:tcPr>
                <w:p w14:paraId="71EF024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070" w:type="dxa"/>
                  <w:gridSpan w:val="2"/>
                </w:tcPr>
                <w:p w14:paraId="3F46E3E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61" w:type="dxa"/>
                  <w:gridSpan w:val="2"/>
                </w:tcPr>
                <w:p w14:paraId="5AC51E1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000" w:type="dxa"/>
                </w:tcPr>
                <w:p w14:paraId="526E0CB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105" w:type="dxa"/>
                </w:tcPr>
                <w:p w14:paraId="10F62D8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849" w:type="dxa"/>
                  <w:gridSpan w:val="2"/>
                </w:tcPr>
                <w:p w14:paraId="35A3AB2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bl>
          <w:p w14:paraId="4941BC70">
            <w:pPr>
              <w:keepNext w:val="0"/>
              <w:keepLines w:val="0"/>
              <w:pageBreakBefore w:val="0"/>
              <w:suppressLineNumbers w:val="0"/>
              <w:kinsoku/>
              <w:wordWrap/>
              <w:overflowPunct/>
              <w:topLinePunct w:val="0"/>
              <w:autoSpaceDE w:val="0"/>
              <w:autoSpaceDN w:val="0"/>
              <w:bidi w:val="0"/>
              <w:adjustRightInd w:val="0"/>
              <w:spacing w:before="100" w:beforeAutospacing="0" w:after="100" w:afterAutospacing="0" w:line="300" w:lineRule="auto"/>
              <w:ind w:left="0" w:right="0"/>
              <w:textAlignment w:val="auto"/>
              <w:rPr>
                <w:rFonts w:hint="eastAsia" w:ascii="宋体" w:hAnsi="宋体" w:eastAsia="宋体" w:cs="宋体"/>
                <w:sz w:val="24"/>
                <w:szCs w:val="24"/>
                <w:vertAlign w:val="baseline"/>
              </w:rPr>
            </w:pPr>
            <w:r>
              <w:rPr>
                <w:rFonts w:hint="eastAsia" w:ascii="宋体" w:hAnsi="宋体" w:eastAsia="宋体" w:cs="宋体"/>
                <w:b/>
                <w:color w:val="000000"/>
                <w:sz w:val="24"/>
                <w:szCs w:val="24"/>
              </w:rPr>
              <w:t>附注：</w:t>
            </w:r>
            <w:r>
              <w:rPr>
                <w:rFonts w:hint="eastAsia" w:ascii="宋体" w:hAnsi="宋体" w:eastAsia="宋体" w:cs="宋体"/>
                <w:color w:val="000000"/>
                <w:sz w:val="24"/>
                <w:szCs w:val="24"/>
              </w:rPr>
              <w:t>投标单位</w:t>
            </w:r>
            <w:r>
              <w:rPr>
                <w:rFonts w:hint="eastAsia" w:ascii="宋体" w:hAnsi="宋体" w:eastAsia="宋体" w:cs="宋体"/>
                <w:color w:val="000000"/>
                <w:sz w:val="24"/>
                <w:szCs w:val="24"/>
                <w:lang w:eastAsia="zh-CN"/>
              </w:rPr>
              <w:t>所</w:t>
            </w:r>
            <w:r>
              <w:rPr>
                <w:rFonts w:hint="eastAsia" w:ascii="宋体" w:hAnsi="宋体" w:eastAsia="宋体" w:cs="宋体"/>
                <w:color w:val="000000"/>
                <w:sz w:val="24"/>
                <w:szCs w:val="24"/>
              </w:rPr>
              <w:t>提供</w:t>
            </w:r>
            <w:r>
              <w:rPr>
                <w:rFonts w:hint="eastAsia" w:ascii="宋体" w:hAnsi="宋体" w:eastAsia="宋体" w:cs="宋体"/>
                <w:color w:val="000000"/>
                <w:sz w:val="24"/>
                <w:szCs w:val="24"/>
                <w:lang w:eastAsia="zh-CN"/>
              </w:rPr>
              <w:t>的</w:t>
            </w:r>
            <w:r>
              <w:rPr>
                <w:rFonts w:hint="eastAsia" w:ascii="宋体" w:hAnsi="宋体" w:eastAsia="宋体" w:cs="宋体"/>
                <w:color w:val="000000"/>
                <w:sz w:val="24"/>
                <w:szCs w:val="24"/>
              </w:rPr>
              <w:t>资料</w:t>
            </w:r>
            <w:r>
              <w:rPr>
                <w:rFonts w:hint="eastAsia" w:ascii="宋体" w:hAnsi="宋体" w:eastAsia="宋体" w:cs="宋体"/>
                <w:color w:val="000000"/>
                <w:sz w:val="24"/>
                <w:szCs w:val="24"/>
                <w:lang w:eastAsia="zh-CN"/>
              </w:rPr>
              <w:t>应真实有效，</w:t>
            </w:r>
            <w:r>
              <w:rPr>
                <w:rFonts w:hint="eastAsia" w:ascii="宋体" w:hAnsi="宋体" w:eastAsia="宋体" w:cs="宋体"/>
                <w:color w:val="000000"/>
                <w:sz w:val="24"/>
                <w:szCs w:val="24"/>
              </w:rPr>
              <w:t>如有隐瞒，一经查实，将取消中标资格并没收投标保证金。</w:t>
            </w:r>
          </w:p>
        </w:tc>
      </w:tr>
    </w:tbl>
    <w:p w14:paraId="5FB322D4">
      <w:pPr>
        <w:pStyle w:val="4"/>
        <w:widowControl/>
        <w:spacing w:before="0" w:after="0" w:line="300" w:lineRule="auto"/>
        <w:jc w:val="center"/>
        <w:rPr>
          <w:rFonts w:hint="eastAsia" w:ascii="宋体" w:hAnsi="宋体"/>
          <w:color w:val="000000" w:themeColor="text1"/>
          <w:kern w:val="0"/>
          <w:lang w:eastAsia="zh-CN"/>
          <w14:textFill>
            <w14:solidFill>
              <w14:schemeClr w14:val="tx1"/>
            </w14:solidFill>
          </w14:textFill>
        </w:rPr>
        <w:sectPr>
          <w:pgSz w:w="11906" w:h="16838"/>
          <w:pgMar w:top="1304" w:right="1304" w:bottom="1304" w:left="1304" w:header="680" w:footer="850" w:gutter="0"/>
          <w:pgNumType w:fmt="decimal"/>
          <w:cols w:space="0" w:num="1"/>
          <w:docGrid w:linePitch="0" w:charSpace="0"/>
        </w:sectPr>
      </w:pPr>
    </w:p>
    <w:p w14:paraId="7D3C6340">
      <w:pPr>
        <w:pStyle w:val="5"/>
        <w:pageBreakBefore w:val="0"/>
        <w:kinsoku/>
        <w:wordWrap/>
        <w:overflowPunct/>
        <w:topLinePunct w:val="0"/>
        <w:bidi w:val="0"/>
        <w:snapToGrid w:val="0"/>
        <w:spacing w:before="0" w:after="0" w:line="300" w:lineRule="auto"/>
        <w:jc w:val="center"/>
        <w:textAlignment w:val="auto"/>
        <w:rPr>
          <w:rFonts w:ascii="宋体" w:hAnsi="宋体" w:eastAsia="宋体"/>
          <w:sz w:val="30"/>
        </w:rPr>
      </w:pPr>
      <w:bookmarkStart w:id="249" w:name="_Toc18916"/>
      <w:bookmarkStart w:id="250" w:name="_Toc4764"/>
      <w:bookmarkStart w:id="251" w:name="_Toc4111"/>
      <w:bookmarkStart w:id="252" w:name="_Toc18159"/>
      <w:bookmarkStart w:id="253" w:name="_Toc26115"/>
      <w:bookmarkStart w:id="254" w:name="_Toc418604085"/>
      <w:bookmarkStart w:id="255" w:name="_Toc9495"/>
      <w:r>
        <w:rPr>
          <w:rFonts w:hint="eastAsia" w:ascii="宋体" w:hAnsi="宋体" w:eastAsia="宋体"/>
          <w:sz w:val="30"/>
        </w:rPr>
        <w:t>五、拟派项目主要</w:t>
      </w:r>
      <w:r>
        <w:rPr>
          <w:rFonts w:hint="eastAsia" w:ascii="宋体" w:hAnsi="宋体" w:eastAsia="宋体"/>
          <w:sz w:val="30"/>
          <w:lang w:val="en-US" w:eastAsia="zh-CN"/>
        </w:rPr>
        <w:t>监理</w:t>
      </w:r>
      <w:r>
        <w:rPr>
          <w:rFonts w:hint="eastAsia" w:ascii="宋体" w:hAnsi="宋体" w:eastAsia="宋体"/>
          <w:sz w:val="30"/>
        </w:rPr>
        <w:t>人员汇总表</w:t>
      </w:r>
      <w:bookmarkEnd w:id="249"/>
      <w:bookmarkEnd w:id="250"/>
      <w:bookmarkEnd w:id="251"/>
      <w:bookmarkEnd w:id="252"/>
      <w:bookmarkEnd w:id="253"/>
      <w:bookmarkEnd w:id="254"/>
      <w:bookmarkEnd w:id="255"/>
    </w:p>
    <w:tbl>
      <w:tblPr>
        <w:tblStyle w:val="41"/>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93"/>
        <w:gridCol w:w="703"/>
        <w:gridCol w:w="878"/>
        <w:gridCol w:w="969"/>
        <w:gridCol w:w="1233"/>
        <w:gridCol w:w="2131"/>
        <w:gridCol w:w="1648"/>
      </w:tblGrid>
      <w:tr w14:paraId="580B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805" w:type="dxa"/>
            <w:vAlign w:val="center"/>
          </w:tcPr>
          <w:p w14:paraId="207CF4B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lang w:eastAsia="en-US"/>
              </w:rPr>
            </w:pPr>
            <w:r>
              <w:rPr>
                <w:rFonts w:hint="eastAsia" w:ascii="宋体" w:hAnsi="宋体"/>
                <w:snapToGrid w:val="0"/>
                <w:kern w:val="0"/>
                <w:sz w:val="24"/>
                <w:szCs w:val="24"/>
                <w:lang w:eastAsia="en-US"/>
              </w:rPr>
              <w:t>姓 名</w:t>
            </w:r>
          </w:p>
        </w:tc>
        <w:tc>
          <w:tcPr>
            <w:tcW w:w="693" w:type="dxa"/>
            <w:vAlign w:val="center"/>
          </w:tcPr>
          <w:p w14:paraId="701D8DE8">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lang w:eastAsia="en-US"/>
              </w:rPr>
            </w:pPr>
            <w:r>
              <w:rPr>
                <w:rFonts w:hint="eastAsia" w:ascii="宋体" w:hAnsi="宋体"/>
                <w:snapToGrid w:val="0"/>
                <w:kern w:val="0"/>
                <w:sz w:val="24"/>
                <w:szCs w:val="24"/>
                <w:lang w:eastAsia="en-US"/>
              </w:rPr>
              <w:t>年龄</w:t>
            </w:r>
          </w:p>
        </w:tc>
        <w:tc>
          <w:tcPr>
            <w:tcW w:w="703" w:type="dxa"/>
            <w:vAlign w:val="center"/>
          </w:tcPr>
          <w:p w14:paraId="2760FA38">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lang w:eastAsia="en-US"/>
              </w:rPr>
            </w:pPr>
            <w:r>
              <w:rPr>
                <w:rFonts w:hint="eastAsia" w:ascii="宋体" w:hAnsi="宋体"/>
                <w:snapToGrid w:val="0"/>
                <w:kern w:val="0"/>
                <w:sz w:val="24"/>
                <w:szCs w:val="24"/>
                <w:lang w:eastAsia="en-US"/>
              </w:rPr>
              <w:t>性别</w:t>
            </w:r>
          </w:p>
        </w:tc>
        <w:tc>
          <w:tcPr>
            <w:tcW w:w="878" w:type="dxa"/>
            <w:vAlign w:val="center"/>
          </w:tcPr>
          <w:p w14:paraId="7E3B3C55">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lang w:eastAsia="en-US"/>
              </w:rPr>
            </w:pPr>
            <w:r>
              <w:rPr>
                <w:rFonts w:hint="eastAsia" w:ascii="宋体" w:hAnsi="宋体"/>
                <w:snapToGrid w:val="0"/>
                <w:kern w:val="0"/>
                <w:sz w:val="24"/>
                <w:szCs w:val="24"/>
                <w:lang w:eastAsia="en-US"/>
              </w:rPr>
              <w:t>职 称</w:t>
            </w:r>
          </w:p>
        </w:tc>
        <w:tc>
          <w:tcPr>
            <w:tcW w:w="969" w:type="dxa"/>
            <w:vAlign w:val="center"/>
          </w:tcPr>
          <w:p w14:paraId="15520C68">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lang w:eastAsia="en-US"/>
              </w:rPr>
            </w:pPr>
            <w:r>
              <w:rPr>
                <w:rFonts w:hint="eastAsia" w:ascii="宋体" w:hAnsi="宋体"/>
                <w:snapToGrid w:val="0"/>
                <w:kern w:val="0"/>
                <w:sz w:val="24"/>
                <w:szCs w:val="24"/>
                <w:lang w:eastAsia="en-US"/>
              </w:rPr>
              <w:t>专 业</w:t>
            </w:r>
          </w:p>
        </w:tc>
        <w:tc>
          <w:tcPr>
            <w:tcW w:w="1233" w:type="dxa"/>
            <w:vAlign w:val="center"/>
          </w:tcPr>
          <w:p w14:paraId="2604403C">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lang w:eastAsia="en-US"/>
              </w:rPr>
            </w:pPr>
            <w:r>
              <w:rPr>
                <w:rFonts w:hint="eastAsia" w:ascii="宋体" w:hAnsi="宋体"/>
                <w:snapToGrid w:val="0"/>
                <w:kern w:val="0"/>
                <w:sz w:val="24"/>
                <w:szCs w:val="24"/>
                <w:lang w:eastAsia="en-US"/>
              </w:rPr>
              <w:t>注册证号</w:t>
            </w:r>
          </w:p>
        </w:tc>
        <w:tc>
          <w:tcPr>
            <w:tcW w:w="2131" w:type="dxa"/>
            <w:vAlign w:val="center"/>
          </w:tcPr>
          <w:p w14:paraId="6CF6548E">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rPr>
            </w:pPr>
            <w:r>
              <w:rPr>
                <w:rFonts w:hint="eastAsia" w:ascii="宋体" w:hAnsi="宋体"/>
                <w:snapToGrid w:val="0"/>
                <w:kern w:val="0"/>
                <w:sz w:val="24"/>
                <w:szCs w:val="24"/>
              </w:rPr>
              <w:t>技术工作简历</w:t>
            </w:r>
          </w:p>
          <w:p w14:paraId="4F0E409C">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rPr>
            </w:pPr>
            <w:r>
              <w:rPr>
                <w:rFonts w:hint="eastAsia" w:ascii="宋体" w:hAnsi="宋体"/>
                <w:snapToGrid w:val="0"/>
                <w:kern w:val="0"/>
                <w:sz w:val="24"/>
                <w:szCs w:val="24"/>
              </w:rPr>
              <w:t>（承担过的项目）</w:t>
            </w:r>
          </w:p>
        </w:tc>
        <w:tc>
          <w:tcPr>
            <w:tcW w:w="1648" w:type="dxa"/>
            <w:vAlign w:val="center"/>
          </w:tcPr>
          <w:p w14:paraId="4840D683">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rPr>
            </w:pPr>
            <w:r>
              <w:rPr>
                <w:rFonts w:hint="eastAsia" w:ascii="宋体" w:hAnsi="宋体"/>
                <w:snapToGrid w:val="0"/>
                <w:kern w:val="0"/>
                <w:sz w:val="24"/>
                <w:szCs w:val="24"/>
              </w:rPr>
              <w:t>备注</w:t>
            </w:r>
          </w:p>
        </w:tc>
      </w:tr>
      <w:tr w14:paraId="2819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05" w:type="dxa"/>
          </w:tcPr>
          <w:p w14:paraId="2E09353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693" w:type="dxa"/>
          </w:tcPr>
          <w:p w14:paraId="2AF941A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703" w:type="dxa"/>
          </w:tcPr>
          <w:p w14:paraId="4DDC1B1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878" w:type="dxa"/>
          </w:tcPr>
          <w:p w14:paraId="79121C2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969" w:type="dxa"/>
          </w:tcPr>
          <w:p w14:paraId="252A3D9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233" w:type="dxa"/>
          </w:tcPr>
          <w:p w14:paraId="0EA5072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2131" w:type="dxa"/>
          </w:tcPr>
          <w:p w14:paraId="76153BC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648" w:type="dxa"/>
          </w:tcPr>
          <w:p w14:paraId="1A8E482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r>
      <w:tr w14:paraId="59FA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805" w:type="dxa"/>
          </w:tcPr>
          <w:p w14:paraId="35B09E3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693" w:type="dxa"/>
          </w:tcPr>
          <w:p w14:paraId="37AA8EA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703" w:type="dxa"/>
          </w:tcPr>
          <w:p w14:paraId="7AEE78D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878" w:type="dxa"/>
          </w:tcPr>
          <w:p w14:paraId="0E835C4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969" w:type="dxa"/>
          </w:tcPr>
          <w:p w14:paraId="3E54262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233" w:type="dxa"/>
          </w:tcPr>
          <w:p w14:paraId="2EFA0F4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2131" w:type="dxa"/>
          </w:tcPr>
          <w:p w14:paraId="255FB62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648" w:type="dxa"/>
          </w:tcPr>
          <w:p w14:paraId="2DAFFAB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r>
      <w:tr w14:paraId="0BB5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805" w:type="dxa"/>
          </w:tcPr>
          <w:p w14:paraId="527FBCB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693" w:type="dxa"/>
          </w:tcPr>
          <w:p w14:paraId="7E52CF2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703" w:type="dxa"/>
          </w:tcPr>
          <w:p w14:paraId="2BD9582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878" w:type="dxa"/>
          </w:tcPr>
          <w:p w14:paraId="5C2FC50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969" w:type="dxa"/>
          </w:tcPr>
          <w:p w14:paraId="6D12EF9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233" w:type="dxa"/>
          </w:tcPr>
          <w:p w14:paraId="6553F0E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2131" w:type="dxa"/>
          </w:tcPr>
          <w:p w14:paraId="2983119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648" w:type="dxa"/>
          </w:tcPr>
          <w:p w14:paraId="06B1B57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r>
      <w:tr w14:paraId="7F56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805" w:type="dxa"/>
          </w:tcPr>
          <w:p w14:paraId="29A6E57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693" w:type="dxa"/>
          </w:tcPr>
          <w:p w14:paraId="17C41B1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703" w:type="dxa"/>
          </w:tcPr>
          <w:p w14:paraId="4AD9A8A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878" w:type="dxa"/>
          </w:tcPr>
          <w:p w14:paraId="74247E1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969" w:type="dxa"/>
          </w:tcPr>
          <w:p w14:paraId="335732F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233" w:type="dxa"/>
          </w:tcPr>
          <w:p w14:paraId="450DD1A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2131" w:type="dxa"/>
          </w:tcPr>
          <w:p w14:paraId="02E8C45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648" w:type="dxa"/>
          </w:tcPr>
          <w:p w14:paraId="687CFD2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r>
      <w:tr w14:paraId="3C65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05" w:type="dxa"/>
          </w:tcPr>
          <w:p w14:paraId="5230055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693" w:type="dxa"/>
          </w:tcPr>
          <w:p w14:paraId="384A898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703" w:type="dxa"/>
          </w:tcPr>
          <w:p w14:paraId="60D9256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878" w:type="dxa"/>
          </w:tcPr>
          <w:p w14:paraId="0B038EC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969" w:type="dxa"/>
          </w:tcPr>
          <w:p w14:paraId="34706D6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233" w:type="dxa"/>
          </w:tcPr>
          <w:p w14:paraId="16AD41E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2131" w:type="dxa"/>
          </w:tcPr>
          <w:p w14:paraId="336F06D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648" w:type="dxa"/>
          </w:tcPr>
          <w:p w14:paraId="18E8EFD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r>
      <w:tr w14:paraId="2069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05" w:type="dxa"/>
          </w:tcPr>
          <w:p w14:paraId="38DB329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693" w:type="dxa"/>
          </w:tcPr>
          <w:p w14:paraId="7FD5632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703" w:type="dxa"/>
          </w:tcPr>
          <w:p w14:paraId="54766DD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878" w:type="dxa"/>
          </w:tcPr>
          <w:p w14:paraId="70E98E3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969" w:type="dxa"/>
          </w:tcPr>
          <w:p w14:paraId="10A4668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233" w:type="dxa"/>
          </w:tcPr>
          <w:p w14:paraId="438B2B7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2131" w:type="dxa"/>
          </w:tcPr>
          <w:p w14:paraId="17DF82A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648" w:type="dxa"/>
          </w:tcPr>
          <w:p w14:paraId="159F4D3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r>
      <w:tr w14:paraId="0B7ED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05" w:type="dxa"/>
          </w:tcPr>
          <w:p w14:paraId="763DE0D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693" w:type="dxa"/>
          </w:tcPr>
          <w:p w14:paraId="58499C6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703" w:type="dxa"/>
          </w:tcPr>
          <w:p w14:paraId="1915F7F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878" w:type="dxa"/>
          </w:tcPr>
          <w:p w14:paraId="4FA3092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969" w:type="dxa"/>
          </w:tcPr>
          <w:p w14:paraId="50DD055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233" w:type="dxa"/>
          </w:tcPr>
          <w:p w14:paraId="6744E0E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2131" w:type="dxa"/>
          </w:tcPr>
          <w:p w14:paraId="5B74602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648" w:type="dxa"/>
          </w:tcPr>
          <w:p w14:paraId="60E1590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r>
      <w:tr w14:paraId="4FF9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05" w:type="dxa"/>
          </w:tcPr>
          <w:p w14:paraId="4D306CF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693" w:type="dxa"/>
          </w:tcPr>
          <w:p w14:paraId="7C34C79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703" w:type="dxa"/>
          </w:tcPr>
          <w:p w14:paraId="369D4CD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878" w:type="dxa"/>
          </w:tcPr>
          <w:p w14:paraId="7A62FC6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969" w:type="dxa"/>
          </w:tcPr>
          <w:p w14:paraId="192D36C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233" w:type="dxa"/>
          </w:tcPr>
          <w:p w14:paraId="4CF9ED9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2131" w:type="dxa"/>
          </w:tcPr>
          <w:p w14:paraId="4BCEFC1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648" w:type="dxa"/>
          </w:tcPr>
          <w:p w14:paraId="24010DE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r>
      <w:tr w14:paraId="3BBC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05" w:type="dxa"/>
          </w:tcPr>
          <w:p w14:paraId="2F41493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693" w:type="dxa"/>
          </w:tcPr>
          <w:p w14:paraId="553A3F9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703" w:type="dxa"/>
          </w:tcPr>
          <w:p w14:paraId="2668953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878" w:type="dxa"/>
          </w:tcPr>
          <w:p w14:paraId="4D4D759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969" w:type="dxa"/>
          </w:tcPr>
          <w:p w14:paraId="5CE11BC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233" w:type="dxa"/>
          </w:tcPr>
          <w:p w14:paraId="675830F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2131" w:type="dxa"/>
          </w:tcPr>
          <w:p w14:paraId="421FB13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648" w:type="dxa"/>
          </w:tcPr>
          <w:p w14:paraId="2B69FF9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r>
      <w:tr w14:paraId="5F7A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05" w:type="dxa"/>
          </w:tcPr>
          <w:p w14:paraId="1E3074D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693" w:type="dxa"/>
          </w:tcPr>
          <w:p w14:paraId="6C2FCDE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703" w:type="dxa"/>
          </w:tcPr>
          <w:p w14:paraId="69F2993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878" w:type="dxa"/>
          </w:tcPr>
          <w:p w14:paraId="48E6D03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969" w:type="dxa"/>
          </w:tcPr>
          <w:p w14:paraId="4C8BB12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233" w:type="dxa"/>
          </w:tcPr>
          <w:p w14:paraId="5631223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2131" w:type="dxa"/>
          </w:tcPr>
          <w:p w14:paraId="12ABF6F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c>
          <w:tcPr>
            <w:tcW w:w="1648" w:type="dxa"/>
          </w:tcPr>
          <w:p w14:paraId="5DFC5A1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p>
        </w:tc>
      </w:tr>
      <w:tr w14:paraId="0914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9060" w:type="dxa"/>
            <w:gridSpan w:val="8"/>
          </w:tcPr>
          <w:p w14:paraId="3FB9671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rPr>
            </w:pPr>
            <w:r>
              <w:rPr>
                <w:rFonts w:hint="eastAsia" w:ascii="宋体" w:hAnsi="宋体"/>
                <w:b/>
                <w:color w:val="000000"/>
                <w:sz w:val="24"/>
                <w:szCs w:val="24"/>
              </w:rPr>
              <w:t>附注：</w:t>
            </w:r>
            <w:r>
              <w:rPr>
                <w:rFonts w:hint="eastAsia" w:ascii="宋体" w:hAnsi="宋体"/>
                <w:color w:val="000000"/>
                <w:sz w:val="24"/>
                <w:szCs w:val="24"/>
              </w:rPr>
              <w:t>投标单位</w:t>
            </w:r>
            <w:r>
              <w:rPr>
                <w:rFonts w:hint="eastAsia" w:ascii="宋体" w:hAnsi="宋体"/>
                <w:color w:val="000000"/>
                <w:sz w:val="24"/>
                <w:szCs w:val="24"/>
                <w:lang w:eastAsia="zh-CN"/>
              </w:rPr>
              <w:t>所</w:t>
            </w:r>
            <w:r>
              <w:rPr>
                <w:rFonts w:hint="eastAsia" w:ascii="宋体" w:hAnsi="宋体"/>
                <w:color w:val="000000"/>
                <w:sz w:val="24"/>
                <w:szCs w:val="24"/>
              </w:rPr>
              <w:t>提供</w:t>
            </w:r>
            <w:r>
              <w:rPr>
                <w:rFonts w:hint="eastAsia" w:ascii="宋体" w:hAnsi="宋体"/>
                <w:color w:val="000000"/>
                <w:sz w:val="24"/>
                <w:szCs w:val="24"/>
                <w:lang w:eastAsia="zh-CN"/>
              </w:rPr>
              <w:t>的</w:t>
            </w:r>
            <w:r>
              <w:rPr>
                <w:rFonts w:hint="eastAsia" w:ascii="宋体" w:hAnsi="宋体"/>
                <w:color w:val="000000"/>
                <w:sz w:val="24"/>
                <w:szCs w:val="24"/>
              </w:rPr>
              <w:t>资料</w:t>
            </w:r>
            <w:r>
              <w:rPr>
                <w:rFonts w:hint="eastAsia" w:ascii="宋体" w:hAnsi="宋体"/>
                <w:color w:val="000000"/>
                <w:sz w:val="24"/>
                <w:szCs w:val="24"/>
                <w:lang w:eastAsia="zh-CN"/>
              </w:rPr>
              <w:t>应真实有效，</w:t>
            </w:r>
            <w:r>
              <w:rPr>
                <w:rFonts w:hint="eastAsia" w:ascii="宋体" w:hAnsi="宋体"/>
                <w:color w:val="000000"/>
                <w:sz w:val="24"/>
                <w:szCs w:val="24"/>
              </w:rPr>
              <w:t>如有隐瞒，一经查实，将取消中标资格并没收投标保证金。</w:t>
            </w:r>
          </w:p>
        </w:tc>
      </w:tr>
    </w:tbl>
    <w:p w14:paraId="06AA7EB0">
      <w:pPr>
        <w:pageBreakBefore w:val="0"/>
        <w:kinsoku/>
        <w:wordWrap/>
        <w:overflowPunct/>
        <w:topLinePunct w:val="0"/>
        <w:bidi w:val="0"/>
        <w:spacing w:line="300" w:lineRule="auto"/>
        <w:ind w:left="210" w:leftChars="100" w:firstLine="0"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p>
    <w:p w14:paraId="4DE2FACC">
      <w:pPr>
        <w:pStyle w:val="4"/>
        <w:widowControl/>
        <w:spacing w:before="0" w:after="0" w:line="300" w:lineRule="auto"/>
        <w:jc w:val="center"/>
        <w:rPr>
          <w:rFonts w:hint="eastAsia" w:ascii="宋体" w:hAnsi="宋体"/>
          <w:color w:val="000000" w:themeColor="text1"/>
          <w:kern w:val="0"/>
          <w:lang w:eastAsia="zh-CN"/>
          <w14:textFill>
            <w14:solidFill>
              <w14:schemeClr w14:val="tx1"/>
            </w14:solidFill>
          </w14:textFill>
        </w:rPr>
        <w:sectPr>
          <w:pgSz w:w="11906" w:h="16838"/>
          <w:pgMar w:top="1304" w:right="1304" w:bottom="1304" w:left="1304" w:header="680" w:footer="850" w:gutter="0"/>
          <w:pgNumType w:fmt="decimal"/>
          <w:cols w:space="0" w:num="1"/>
          <w:docGrid w:linePitch="0" w:charSpace="0"/>
        </w:sectPr>
      </w:pPr>
    </w:p>
    <w:p w14:paraId="56476B9A">
      <w:pPr>
        <w:pStyle w:val="5"/>
        <w:pageBreakBefore w:val="0"/>
        <w:kinsoku/>
        <w:wordWrap/>
        <w:overflowPunct/>
        <w:topLinePunct w:val="0"/>
        <w:bidi w:val="0"/>
        <w:snapToGrid w:val="0"/>
        <w:spacing w:before="0" w:after="0" w:line="300" w:lineRule="auto"/>
        <w:jc w:val="center"/>
        <w:textAlignment w:val="auto"/>
        <w:rPr>
          <w:rFonts w:ascii="宋体" w:hAnsi="宋体" w:eastAsia="宋体"/>
          <w:sz w:val="30"/>
        </w:rPr>
      </w:pPr>
      <w:bookmarkStart w:id="256" w:name="_Toc18166"/>
      <w:bookmarkStart w:id="257" w:name="_Toc1873"/>
      <w:r>
        <w:rPr>
          <w:rFonts w:hint="eastAsia" w:ascii="宋体" w:hAnsi="宋体" w:eastAsia="宋体"/>
          <w:sz w:val="30"/>
        </w:rPr>
        <w:t>六、拟派项目造价人员简历表</w:t>
      </w:r>
      <w:bookmarkEnd w:id="256"/>
      <w:bookmarkEnd w:id="257"/>
    </w:p>
    <w:tbl>
      <w:tblPr>
        <w:tblStyle w:val="41"/>
        <w:tblW w:w="9115"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201"/>
        <w:gridCol w:w="1461"/>
        <w:gridCol w:w="286"/>
        <w:gridCol w:w="1377"/>
        <w:gridCol w:w="744"/>
        <w:gridCol w:w="921"/>
        <w:gridCol w:w="1072"/>
        <w:gridCol w:w="591"/>
        <w:gridCol w:w="917"/>
      </w:tblGrid>
      <w:tr w14:paraId="4CCD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545" w:type="dxa"/>
            <w:vAlign w:val="center"/>
          </w:tcPr>
          <w:p w14:paraId="5C8CCAE0">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姓   名</w:t>
            </w:r>
          </w:p>
        </w:tc>
        <w:tc>
          <w:tcPr>
            <w:tcW w:w="1662" w:type="dxa"/>
            <w:gridSpan w:val="2"/>
            <w:vAlign w:val="center"/>
          </w:tcPr>
          <w:p w14:paraId="3EB392BF">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p>
        </w:tc>
        <w:tc>
          <w:tcPr>
            <w:tcW w:w="1663" w:type="dxa"/>
            <w:gridSpan w:val="2"/>
            <w:vAlign w:val="center"/>
          </w:tcPr>
          <w:p w14:paraId="32C4BD90">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性   别</w:t>
            </w:r>
          </w:p>
        </w:tc>
        <w:tc>
          <w:tcPr>
            <w:tcW w:w="1665" w:type="dxa"/>
            <w:gridSpan w:val="2"/>
            <w:vAlign w:val="center"/>
          </w:tcPr>
          <w:p w14:paraId="1306E777">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p>
        </w:tc>
        <w:tc>
          <w:tcPr>
            <w:tcW w:w="1663" w:type="dxa"/>
            <w:gridSpan w:val="2"/>
            <w:vAlign w:val="center"/>
          </w:tcPr>
          <w:p w14:paraId="45524E9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出生年月</w:t>
            </w:r>
          </w:p>
        </w:tc>
        <w:tc>
          <w:tcPr>
            <w:tcW w:w="917" w:type="dxa"/>
            <w:vAlign w:val="center"/>
          </w:tcPr>
          <w:p w14:paraId="5189D61C">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p>
        </w:tc>
      </w:tr>
      <w:tr w14:paraId="08C4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3207" w:type="dxa"/>
            <w:gridSpan w:val="3"/>
            <w:vAlign w:val="center"/>
          </w:tcPr>
          <w:p w14:paraId="2C23BED1">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毕业时间、院校、专业</w:t>
            </w:r>
          </w:p>
        </w:tc>
        <w:tc>
          <w:tcPr>
            <w:tcW w:w="5908" w:type="dxa"/>
            <w:gridSpan w:val="7"/>
            <w:vAlign w:val="center"/>
          </w:tcPr>
          <w:p w14:paraId="42B852A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rPr>
            </w:pPr>
          </w:p>
        </w:tc>
      </w:tr>
      <w:tr w14:paraId="40DA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3207" w:type="dxa"/>
            <w:gridSpan w:val="3"/>
            <w:vAlign w:val="center"/>
          </w:tcPr>
          <w:p w14:paraId="0ABF19DC">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技术职称</w:t>
            </w:r>
          </w:p>
        </w:tc>
        <w:tc>
          <w:tcPr>
            <w:tcW w:w="2407" w:type="dxa"/>
            <w:gridSpan w:val="3"/>
            <w:vAlign w:val="center"/>
          </w:tcPr>
          <w:p w14:paraId="427B5A9F">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p>
        </w:tc>
        <w:tc>
          <w:tcPr>
            <w:tcW w:w="2584" w:type="dxa"/>
            <w:gridSpan w:val="3"/>
            <w:vAlign w:val="center"/>
          </w:tcPr>
          <w:p w14:paraId="0BEC5BB6">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专业</w:t>
            </w:r>
          </w:p>
        </w:tc>
        <w:tc>
          <w:tcPr>
            <w:tcW w:w="917" w:type="dxa"/>
            <w:vAlign w:val="center"/>
          </w:tcPr>
          <w:p w14:paraId="79B33283">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p>
        </w:tc>
      </w:tr>
      <w:tr w14:paraId="157F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3207" w:type="dxa"/>
            <w:gridSpan w:val="3"/>
            <w:vAlign w:val="center"/>
          </w:tcPr>
          <w:p w14:paraId="541E784F">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可查询的注册证书编号</w:t>
            </w:r>
          </w:p>
        </w:tc>
        <w:tc>
          <w:tcPr>
            <w:tcW w:w="2407" w:type="dxa"/>
            <w:gridSpan w:val="3"/>
            <w:vAlign w:val="center"/>
          </w:tcPr>
          <w:p w14:paraId="461A6A88">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p>
        </w:tc>
        <w:tc>
          <w:tcPr>
            <w:tcW w:w="2584" w:type="dxa"/>
            <w:gridSpan w:val="3"/>
            <w:vAlign w:val="center"/>
          </w:tcPr>
          <w:p w14:paraId="4B37204E">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val="en-US" w:eastAsia="zh-CN"/>
              </w:rPr>
              <w:t>监理</w:t>
            </w:r>
            <w:r>
              <w:rPr>
                <w:rFonts w:hint="eastAsia" w:ascii="宋体" w:hAnsi="宋体" w:eastAsia="宋体" w:cs="宋体"/>
                <w:snapToGrid w:val="0"/>
                <w:kern w:val="0"/>
                <w:sz w:val="24"/>
                <w:szCs w:val="24"/>
                <w:lang w:eastAsia="en-US"/>
              </w:rPr>
              <w:t>工作年限</w:t>
            </w:r>
          </w:p>
        </w:tc>
        <w:tc>
          <w:tcPr>
            <w:tcW w:w="917" w:type="dxa"/>
            <w:vAlign w:val="center"/>
          </w:tcPr>
          <w:p w14:paraId="3E581697">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p>
        </w:tc>
      </w:tr>
      <w:tr w14:paraId="1A9F4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3207" w:type="dxa"/>
            <w:gridSpan w:val="3"/>
            <w:vAlign w:val="center"/>
          </w:tcPr>
          <w:p w14:paraId="7FFB6274">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lang w:eastAsia="en-US"/>
              </w:rPr>
              <w:t>现任职务</w:t>
            </w:r>
          </w:p>
        </w:tc>
        <w:tc>
          <w:tcPr>
            <w:tcW w:w="2407" w:type="dxa"/>
            <w:gridSpan w:val="3"/>
            <w:vAlign w:val="center"/>
          </w:tcPr>
          <w:p w14:paraId="3A5CBBCE">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p>
        </w:tc>
        <w:tc>
          <w:tcPr>
            <w:tcW w:w="2584" w:type="dxa"/>
            <w:gridSpan w:val="3"/>
            <w:vAlign w:val="center"/>
          </w:tcPr>
          <w:p w14:paraId="678503D1">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拟在本项目担任职务</w:t>
            </w:r>
          </w:p>
        </w:tc>
        <w:tc>
          <w:tcPr>
            <w:tcW w:w="917" w:type="dxa"/>
            <w:vAlign w:val="center"/>
          </w:tcPr>
          <w:p w14:paraId="1AB1238D">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p>
        </w:tc>
      </w:tr>
      <w:tr w14:paraId="1495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9115" w:type="dxa"/>
            <w:gridSpan w:val="10"/>
            <w:vAlign w:val="center"/>
          </w:tcPr>
          <w:p w14:paraId="566197C7">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 xml:space="preserve">已 完 成 </w:t>
            </w:r>
            <w:r>
              <w:rPr>
                <w:rFonts w:hint="eastAsia" w:ascii="宋体" w:hAnsi="宋体" w:eastAsia="宋体" w:cs="宋体"/>
                <w:snapToGrid w:val="0"/>
                <w:kern w:val="0"/>
                <w:sz w:val="24"/>
                <w:szCs w:val="24"/>
                <w:lang w:val="en-US" w:eastAsia="zh-CN"/>
              </w:rPr>
              <w:t>监理</w:t>
            </w:r>
            <w:r>
              <w:rPr>
                <w:rFonts w:hint="eastAsia" w:ascii="宋体" w:hAnsi="宋体" w:eastAsia="宋体" w:cs="宋体"/>
                <w:snapToGrid w:val="0"/>
                <w:kern w:val="0"/>
                <w:sz w:val="24"/>
                <w:szCs w:val="24"/>
              </w:rPr>
              <w:t xml:space="preserve"> 咨 询 项 目 情 况</w:t>
            </w:r>
          </w:p>
        </w:tc>
      </w:tr>
      <w:tr w14:paraId="4AD9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vAlign w:val="center"/>
          </w:tcPr>
          <w:p w14:paraId="51D91883">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项目名称</w:t>
            </w:r>
          </w:p>
        </w:tc>
        <w:tc>
          <w:tcPr>
            <w:tcW w:w="1747" w:type="dxa"/>
            <w:gridSpan w:val="2"/>
            <w:vAlign w:val="center"/>
          </w:tcPr>
          <w:p w14:paraId="78EFEF09">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建设单位</w:t>
            </w:r>
          </w:p>
        </w:tc>
        <w:tc>
          <w:tcPr>
            <w:tcW w:w="2121" w:type="dxa"/>
            <w:gridSpan w:val="2"/>
            <w:vAlign w:val="center"/>
          </w:tcPr>
          <w:p w14:paraId="0F1F34F3">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建设规模</w:t>
            </w:r>
          </w:p>
        </w:tc>
        <w:tc>
          <w:tcPr>
            <w:tcW w:w="1993" w:type="dxa"/>
            <w:gridSpan w:val="2"/>
            <w:vAlign w:val="center"/>
          </w:tcPr>
          <w:p w14:paraId="24AE68E2">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工程总造价（元）</w:t>
            </w:r>
          </w:p>
        </w:tc>
        <w:tc>
          <w:tcPr>
            <w:tcW w:w="1508" w:type="dxa"/>
            <w:gridSpan w:val="2"/>
            <w:vAlign w:val="center"/>
          </w:tcPr>
          <w:p w14:paraId="66DB3901">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eastAsia" w:ascii="宋体" w:hAnsi="宋体" w:eastAsia="宋体" w:cs="宋体"/>
                <w:snapToGrid w:val="0"/>
                <w:kern w:val="0"/>
                <w:sz w:val="24"/>
                <w:szCs w:val="24"/>
                <w:lang w:eastAsia="en-US"/>
              </w:rPr>
            </w:pPr>
            <w:r>
              <w:rPr>
                <w:rFonts w:hint="eastAsia" w:ascii="宋体" w:hAnsi="宋体" w:eastAsia="宋体" w:cs="宋体"/>
                <w:snapToGrid w:val="0"/>
                <w:kern w:val="0"/>
                <w:sz w:val="24"/>
                <w:szCs w:val="24"/>
                <w:lang w:eastAsia="en-US"/>
              </w:rPr>
              <w:t>服务起止时间</w:t>
            </w:r>
          </w:p>
        </w:tc>
      </w:tr>
      <w:tr w14:paraId="7012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vAlign w:val="center"/>
          </w:tcPr>
          <w:p w14:paraId="1B6A93C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vAlign w:val="center"/>
          </w:tcPr>
          <w:p w14:paraId="4A34A27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vAlign w:val="center"/>
          </w:tcPr>
          <w:p w14:paraId="0324677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vAlign w:val="center"/>
          </w:tcPr>
          <w:p w14:paraId="2BFCC0E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vAlign w:val="center"/>
          </w:tcPr>
          <w:p w14:paraId="2FB70C8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754C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vAlign w:val="center"/>
          </w:tcPr>
          <w:p w14:paraId="5F659CF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vAlign w:val="center"/>
          </w:tcPr>
          <w:p w14:paraId="62A6FDF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vAlign w:val="center"/>
          </w:tcPr>
          <w:p w14:paraId="029DB56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vAlign w:val="center"/>
          </w:tcPr>
          <w:p w14:paraId="39627D8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vAlign w:val="center"/>
          </w:tcPr>
          <w:p w14:paraId="4FA9AA5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5640A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tcPr>
          <w:p w14:paraId="45E6B6D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tcPr>
          <w:p w14:paraId="523538B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tcPr>
          <w:p w14:paraId="321516F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tcPr>
          <w:p w14:paraId="5CDDB8D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tcPr>
          <w:p w14:paraId="64CD460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4BFA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tcPr>
          <w:p w14:paraId="2F21914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tcPr>
          <w:p w14:paraId="5E5E741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tcPr>
          <w:p w14:paraId="47A8DC3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tcPr>
          <w:p w14:paraId="2390296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tcPr>
          <w:p w14:paraId="4C52E74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2959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tcPr>
          <w:p w14:paraId="7C569D1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tcPr>
          <w:p w14:paraId="0AE6DC0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tcPr>
          <w:p w14:paraId="26665F4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tcPr>
          <w:p w14:paraId="5B7BCD1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tcPr>
          <w:p w14:paraId="2985180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1B4F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tcPr>
          <w:p w14:paraId="66A4670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tcPr>
          <w:p w14:paraId="0AA4AF9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tcPr>
          <w:p w14:paraId="1BB4A05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tcPr>
          <w:p w14:paraId="02DB91B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tcPr>
          <w:p w14:paraId="3DB82BE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40C38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tcPr>
          <w:p w14:paraId="4AE7354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tcPr>
          <w:p w14:paraId="27B5EFC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tcPr>
          <w:p w14:paraId="55B58BE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tcPr>
          <w:p w14:paraId="1F2B499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tcPr>
          <w:p w14:paraId="757CF3B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64EC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tcPr>
          <w:p w14:paraId="6F869A1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tcPr>
          <w:p w14:paraId="4109ABC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tcPr>
          <w:p w14:paraId="5B6D9FA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tcPr>
          <w:p w14:paraId="184A8FD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tcPr>
          <w:p w14:paraId="0F57ABA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23297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tcPr>
          <w:p w14:paraId="0B8084C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tcPr>
          <w:p w14:paraId="1330494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tcPr>
          <w:p w14:paraId="16DBE20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tcPr>
          <w:p w14:paraId="21618AA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tcPr>
          <w:p w14:paraId="243C1B2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44B27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tcPr>
          <w:p w14:paraId="1C5FB5F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tcPr>
          <w:p w14:paraId="0E8AD94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tcPr>
          <w:p w14:paraId="36AFDA4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tcPr>
          <w:p w14:paraId="778AB0B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tcPr>
          <w:p w14:paraId="23EC101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138A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tcPr>
          <w:p w14:paraId="2E4B52D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tcPr>
          <w:p w14:paraId="4577D6D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tcPr>
          <w:p w14:paraId="725308A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tcPr>
          <w:p w14:paraId="6BD2F6D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tcPr>
          <w:p w14:paraId="7CC5726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09DE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746" w:type="dxa"/>
            <w:gridSpan w:val="2"/>
          </w:tcPr>
          <w:p w14:paraId="1DAB242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tcPr>
          <w:p w14:paraId="635D6C1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tcPr>
          <w:p w14:paraId="6482322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tcPr>
          <w:p w14:paraId="08246F4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tcPr>
          <w:p w14:paraId="7363E43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43C3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1746" w:type="dxa"/>
            <w:gridSpan w:val="2"/>
          </w:tcPr>
          <w:p w14:paraId="02DDEBC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747" w:type="dxa"/>
            <w:gridSpan w:val="2"/>
          </w:tcPr>
          <w:p w14:paraId="781D258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2121" w:type="dxa"/>
            <w:gridSpan w:val="2"/>
          </w:tcPr>
          <w:p w14:paraId="6F775F1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993" w:type="dxa"/>
            <w:gridSpan w:val="2"/>
          </w:tcPr>
          <w:p w14:paraId="45CB1A7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c>
          <w:tcPr>
            <w:tcW w:w="1508" w:type="dxa"/>
            <w:gridSpan w:val="2"/>
          </w:tcPr>
          <w:p w14:paraId="0898318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eastAsia" w:ascii="宋体" w:hAnsi="宋体" w:eastAsia="宋体" w:cs="宋体"/>
                <w:snapToGrid w:val="0"/>
                <w:kern w:val="0"/>
                <w:sz w:val="24"/>
                <w:szCs w:val="24"/>
                <w:lang w:eastAsia="en-US"/>
              </w:rPr>
            </w:pPr>
          </w:p>
        </w:tc>
      </w:tr>
      <w:tr w14:paraId="624D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9115" w:type="dxa"/>
            <w:gridSpan w:val="10"/>
          </w:tcPr>
          <w:p w14:paraId="4EF095C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r>
              <w:rPr>
                <w:rFonts w:hint="eastAsia" w:ascii="宋体" w:hAnsi="宋体"/>
                <w:b/>
                <w:color w:val="000000"/>
                <w:sz w:val="24"/>
                <w:szCs w:val="24"/>
              </w:rPr>
              <w:t>附注：</w:t>
            </w:r>
            <w:r>
              <w:rPr>
                <w:rFonts w:hint="eastAsia" w:ascii="宋体" w:hAnsi="宋体"/>
                <w:color w:val="000000"/>
                <w:sz w:val="24"/>
                <w:szCs w:val="24"/>
              </w:rPr>
              <w:t>投标单位</w:t>
            </w:r>
            <w:r>
              <w:rPr>
                <w:rFonts w:hint="eastAsia" w:ascii="宋体" w:hAnsi="宋体"/>
                <w:color w:val="000000"/>
                <w:sz w:val="24"/>
                <w:szCs w:val="24"/>
                <w:lang w:eastAsia="zh-CN"/>
              </w:rPr>
              <w:t>所</w:t>
            </w:r>
            <w:r>
              <w:rPr>
                <w:rFonts w:hint="eastAsia" w:ascii="宋体" w:hAnsi="宋体"/>
                <w:color w:val="000000"/>
                <w:sz w:val="24"/>
                <w:szCs w:val="24"/>
              </w:rPr>
              <w:t>提供</w:t>
            </w:r>
            <w:r>
              <w:rPr>
                <w:rFonts w:hint="eastAsia" w:ascii="宋体" w:hAnsi="宋体"/>
                <w:color w:val="000000"/>
                <w:sz w:val="24"/>
                <w:szCs w:val="24"/>
                <w:lang w:eastAsia="zh-CN"/>
              </w:rPr>
              <w:t>的</w:t>
            </w:r>
            <w:r>
              <w:rPr>
                <w:rFonts w:hint="eastAsia" w:ascii="宋体" w:hAnsi="宋体"/>
                <w:color w:val="000000"/>
                <w:sz w:val="24"/>
                <w:szCs w:val="24"/>
              </w:rPr>
              <w:t>资料</w:t>
            </w:r>
            <w:r>
              <w:rPr>
                <w:rFonts w:hint="eastAsia" w:ascii="宋体" w:hAnsi="宋体"/>
                <w:color w:val="000000"/>
                <w:sz w:val="24"/>
                <w:szCs w:val="24"/>
                <w:lang w:eastAsia="zh-CN"/>
              </w:rPr>
              <w:t>应真实有效，</w:t>
            </w:r>
            <w:r>
              <w:rPr>
                <w:rFonts w:hint="eastAsia" w:ascii="宋体" w:hAnsi="宋体"/>
                <w:color w:val="000000"/>
                <w:sz w:val="24"/>
                <w:szCs w:val="24"/>
              </w:rPr>
              <w:t>如有隐瞒，一经查实，将取消中标资格并没收投标保证金。</w:t>
            </w:r>
          </w:p>
        </w:tc>
      </w:tr>
    </w:tbl>
    <w:p w14:paraId="30664622">
      <w:pPr>
        <w:pageBreakBefore w:val="0"/>
        <w:kinsoku/>
        <w:wordWrap/>
        <w:overflowPunct/>
        <w:topLinePunct w:val="0"/>
        <w:bidi w:val="0"/>
        <w:spacing w:line="300" w:lineRule="auto"/>
        <w:ind w:left="210" w:leftChars="100" w:firstLine="0" w:firstLineChars="0"/>
        <w:textAlignment w:val="auto"/>
        <w:rPr>
          <w:rFonts w:hint="eastAsia" w:ascii="宋体" w:hAnsi="宋体" w:eastAsia="宋体" w:cs="宋体"/>
          <w:b/>
          <w:snapToGrid w:val="0"/>
          <w:color w:val="000000" w:themeColor="text1"/>
          <w:sz w:val="24"/>
          <w:szCs w:val="24"/>
          <w14:textFill>
            <w14:solidFill>
              <w14:schemeClr w14:val="tx1"/>
            </w14:solidFill>
          </w14:textFill>
        </w:rPr>
      </w:pPr>
      <w:r>
        <w:rPr>
          <w:rFonts w:hint="eastAsia" w:ascii="宋体" w:hAnsi="宋体" w:eastAsia="宋体" w:cs="宋体"/>
          <w:b/>
          <w:snapToGrid w:val="0"/>
          <w:color w:val="000000" w:themeColor="text1"/>
          <w:sz w:val="24"/>
          <w:szCs w:val="24"/>
          <w14:textFill>
            <w14:solidFill>
              <w14:schemeClr w14:val="tx1"/>
            </w14:solidFill>
          </w14:textFill>
        </w:rPr>
        <w:t>注：</w:t>
      </w:r>
    </w:p>
    <w:p w14:paraId="1F67FDF4">
      <w:pPr>
        <w:pageBreakBefore w:val="0"/>
        <w:kinsoku/>
        <w:wordWrap/>
        <w:overflowPunct/>
        <w:topLinePunct w:val="0"/>
        <w:bidi w:val="0"/>
        <w:spacing w:line="300" w:lineRule="auto"/>
        <w:ind w:left="210" w:leftChars="100" w:firstLine="0"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应附学历证、职称证、资格证、</w:t>
      </w:r>
      <w:r>
        <w:rPr>
          <w:rFonts w:hint="eastAsia" w:ascii="宋体" w:hAnsi="宋体" w:eastAsia="宋体" w:cs="宋体"/>
          <w:snapToGrid w:val="0"/>
          <w:color w:val="000000" w:themeColor="text1"/>
          <w:sz w:val="24"/>
          <w:szCs w:val="24"/>
          <w:lang w:val="en-US" w:eastAsia="zh-CN"/>
          <w14:textFill>
            <w14:solidFill>
              <w14:schemeClr w14:val="tx1"/>
            </w14:solidFill>
          </w14:textFill>
        </w:rPr>
        <w:t>其他</w:t>
      </w:r>
      <w:r>
        <w:rPr>
          <w:rFonts w:hint="eastAsia" w:ascii="宋体" w:hAnsi="宋体" w:eastAsia="宋体" w:cs="宋体"/>
          <w:snapToGrid w:val="0"/>
          <w:color w:val="000000" w:themeColor="text1"/>
          <w:sz w:val="24"/>
          <w:szCs w:val="24"/>
          <w14:textFill>
            <w14:solidFill>
              <w14:schemeClr w14:val="tx1"/>
            </w14:solidFill>
          </w14:textFill>
        </w:rPr>
        <w:t>证书及业绩证明材料。</w:t>
      </w:r>
    </w:p>
    <w:p w14:paraId="639F08FE">
      <w:pPr>
        <w:pageBreakBefore w:val="0"/>
        <w:kinsoku/>
        <w:wordWrap/>
        <w:overflowPunct/>
        <w:topLinePunct w:val="0"/>
        <w:bidi w:val="0"/>
        <w:spacing w:line="300" w:lineRule="auto"/>
        <w:ind w:left="210" w:leftChars="100" w:firstLine="0"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在本项目中担任项目负责人、土建负责人、安装负责人或驻现场的</w:t>
      </w:r>
      <w:r>
        <w:rPr>
          <w:rFonts w:hint="eastAsia" w:ascii="宋体" w:hAnsi="宋体" w:eastAsia="宋体" w:cs="宋体"/>
          <w:snapToGrid w:val="0"/>
          <w:color w:val="000000" w:themeColor="text1"/>
          <w:sz w:val="24"/>
          <w:szCs w:val="24"/>
          <w:lang w:val="en-US" w:eastAsia="zh-CN"/>
          <w14:textFill>
            <w14:solidFill>
              <w14:schemeClr w14:val="tx1"/>
            </w14:solidFill>
          </w14:textFill>
        </w:rPr>
        <w:t>监理</w:t>
      </w:r>
      <w:r>
        <w:rPr>
          <w:rFonts w:hint="eastAsia" w:ascii="宋体" w:hAnsi="宋体" w:eastAsia="宋体" w:cs="宋体"/>
          <w:snapToGrid w:val="0"/>
          <w:color w:val="000000" w:themeColor="text1"/>
          <w:sz w:val="24"/>
          <w:szCs w:val="24"/>
          <w14:textFill>
            <w14:solidFill>
              <w14:schemeClr w14:val="tx1"/>
            </w14:solidFill>
          </w14:textFill>
        </w:rPr>
        <w:t>人员应在备注一栏注明。每位</w:t>
      </w:r>
      <w:r>
        <w:rPr>
          <w:rFonts w:hint="eastAsia" w:ascii="宋体" w:hAnsi="宋体" w:eastAsia="宋体" w:cs="宋体"/>
          <w:snapToGrid w:val="0"/>
          <w:color w:val="000000" w:themeColor="text1"/>
          <w:sz w:val="24"/>
          <w:szCs w:val="24"/>
          <w:lang w:val="en-US" w:eastAsia="zh-CN"/>
          <w14:textFill>
            <w14:solidFill>
              <w14:schemeClr w14:val="tx1"/>
            </w14:solidFill>
          </w14:textFill>
        </w:rPr>
        <w:t>监理</w:t>
      </w:r>
      <w:r>
        <w:rPr>
          <w:rFonts w:hint="eastAsia" w:ascii="宋体" w:hAnsi="宋体" w:eastAsia="宋体" w:cs="宋体"/>
          <w:snapToGrid w:val="0"/>
          <w:color w:val="000000" w:themeColor="text1"/>
          <w:sz w:val="24"/>
          <w:szCs w:val="24"/>
          <w14:textFill>
            <w14:solidFill>
              <w14:schemeClr w14:val="tx1"/>
            </w14:solidFill>
          </w14:textFill>
        </w:rPr>
        <w:t>人员均须对应一份简历表</w:t>
      </w:r>
      <w:r>
        <w:rPr>
          <w:rFonts w:hint="eastAsia" w:ascii="宋体" w:hAnsi="宋体" w:eastAsia="宋体" w:cs="宋体"/>
          <w:snapToGrid w:val="0"/>
          <w:color w:val="000000" w:themeColor="text1"/>
          <w:sz w:val="24"/>
          <w:szCs w:val="24"/>
          <w:lang w:val="en-US" w:eastAsia="zh-CN"/>
          <w14:textFill>
            <w14:solidFill>
              <w14:schemeClr w14:val="tx1"/>
            </w14:solidFill>
          </w14:textFill>
        </w:rPr>
        <w:t>及参保证明</w:t>
      </w:r>
      <w:r>
        <w:rPr>
          <w:rFonts w:hint="eastAsia" w:ascii="宋体" w:hAnsi="宋体" w:eastAsia="宋体" w:cs="宋体"/>
          <w:snapToGrid w:val="0"/>
          <w:color w:val="000000" w:themeColor="text1"/>
          <w:sz w:val="24"/>
          <w:szCs w:val="24"/>
          <w14:textFill>
            <w14:solidFill>
              <w14:schemeClr w14:val="tx1"/>
            </w14:solidFill>
          </w14:textFill>
        </w:rPr>
        <w:t>。</w:t>
      </w:r>
    </w:p>
    <w:p w14:paraId="18FB3C15">
      <w:pPr>
        <w:pStyle w:val="4"/>
        <w:widowControl/>
        <w:spacing w:before="0" w:after="0" w:line="300" w:lineRule="auto"/>
        <w:jc w:val="center"/>
        <w:rPr>
          <w:rFonts w:hint="eastAsia" w:ascii="宋体" w:hAnsi="宋体"/>
          <w:color w:val="000000" w:themeColor="text1"/>
          <w:kern w:val="0"/>
          <w:lang w:eastAsia="zh-CN"/>
          <w14:textFill>
            <w14:solidFill>
              <w14:schemeClr w14:val="tx1"/>
            </w14:solidFill>
          </w14:textFill>
        </w:rPr>
        <w:sectPr>
          <w:pgSz w:w="11906" w:h="16838"/>
          <w:pgMar w:top="1304" w:right="1304" w:bottom="1304" w:left="1304" w:header="680" w:footer="850" w:gutter="0"/>
          <w:pgNumType w:fmt="decimal"/>
          <w:cols w:space="0" w:num="1"/>
          <w:docGrid w:linePitch="0" w:charSpace="0"/>
        </w:sectPr>
      </w:pPr>
    </w:p>
    <w:p w14:paraId="014A3669">
      <w:pPr>
        <w:pStyle w:val="5"/>
        <w:pageBreakBefore w:val="0"/>
        <w:kinsoku/>
        <w:wordWrap/>
        <w:overflowPunct/>
        <w:topLinePunct w:val="0"/>
        <w:bidi w:val="0"/>
        <w:snapToGrid w:val="0"/>
        <w:spacing w:before="0" w:after="0" w:line="300" w:lineRule="auto"/>
        <w:jc w:val="center"/>
        <w:textAlignment w:val="auto"/>
        <w:rPr>
          <w:rFonts w:ascii="宋体" w:hAnsi="宋体" w:eastAsia="宋体"/>
          <w:sz w:val="30"/>
        </w:rPr>
      </w:pPr>
      <w:bookmarkStart w:id="258" w:name="_Toc28670"/>
      <w:bookmarkStart w:id="259" w:name="_Toc418604087"/>
      <w:bookmarkStart w:id="260" w:name="_Toc17168"/>
      <w:bookmarkStart w:id="261" w:name="_Toc27112"/>
      <w:bookmarkStart w:id="262" w:name="_Toc7555"/>
      <w:bookmarkStart w:id="263" w:name="_Toc845"/>
      <w:bookmarkStart w:id="264" w:name="_Toc12051"/>
      <w:r>
        <w:rPr>
          <w:rFonts w:hint="eastAsia" w:ascii="宋体" w:hAnsi="宋体" w:eastAsia="宋体"/>
          <w:sz w:val="30"/>
        </w:rPr>
        <w:t>七、投标人业绩情况表</w:t>
      </w:r>
      <w:bookmarkEnd w:id="258"/>
      <w:bookmarkEnd w:id="259"/>
      <w:bookmarkEnd w:id="260"/>
      <w:bookmarkEnd w:id="261"/>
      <w:bookmarkEnd w:id="262"/>
      <w:bookmarkEnd w:id="263"/>
      <w:bookmarkEnd w:id="264"/>
    </w:p>
    <w:tbl>
      <w:tblPr>
        <w:tblStyle w:val="41"/>
        <w:tblW w:w="9261" w:type="dxa"/>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1650"/>
        <w:gridCol w:w="1607"/>
        <w:gridCol w:w="1543"/>
        <w:gridCol w:w="1210"/>
        <w:gridCol w:w="1138"/>
        <w:gridCol w:w="988"/>
      </w:tblGrid>
      <w:tr w14:paraId="6BDE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vAlign w:val="center"/>
          </w:tcPr>
          <w:p w14:paraId="7FD99978">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lang w:eastAsia="en-US"/>
              </w:rPr>
            </w:pPr>
            <w:r>
              <w:rPr>
                <w:rFonts w:hint="eastAsia" w:ascii="宋体" w:hAnsi="宋体"/>
                <w:snapToGrid w:val="0"/>
                <w:kern w:val="0"/>
                <w:sz w:val="24"/>
                <w:szCs w:val="24"/>
                <w:lang w:eastAsia="en-US"/>
              </w:rPr>
              <w:t>项目名称</w:t>
            </w:r>
          </w:p>
        </w:tc>
        <w:tc>
          <w:tcPr>
            <w:tcW w:w="1650" w:type="dxa"/>
            <w:vAlign w:val="center"/>
          </w:tcPr>
          <w:p w14:paraId="42F699E9">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lang w:eastAsia="en-US"/>
              </w:rPr>
            </w:pPr>
            <w:r>
              <w:rPr>
                <w:rFonts w:hint="eastAsia" w:ascii="宋体" w:hAnsi="宋体"/>
                <w:snapToGrid w:val="0"/>
                <w:kern w:val="0"/>
                <w:sz w:val="24"/>
                <w:szCs w:val="24"/>
                <w:lang w:eastAsia="en-US"/>
              </w:rPr>
              <w:t>委托单位</w:t>
            </w:r>
          </w:p>
        </w:tc>
        <w:tc>
          <w:tcPr>
            <w:tcW w:w="1607" w:type="dxa"/>
            <w:vAlign w:val="center"/>
          </w:tcPr>
          <w:p w14:paraId="48AC0E35">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lang w:eastAsia="en-US"/>
              </w:rPr>
            </w:pPr>
            <w:r>
              <w:rPr>
                <w:rFonts w:hint="eastAsia" w:ascii="宋体" w:hAnsi="宋体"/>
                <w:snapToGrid w:val="0"/>
                <w:kern w:val="0"/>
                <w:sz w:val="24"/>
                <w:szCs w:val="24"/>
                <w:lang w:eastAsia="en-US"/>
              </w:rPr>
              <w:t>建设规模</w:t>
            </w:r>
          </w:p>
        </w:tc>
        <w:tc>
          <w:tcPr>
            <w:tcW w:w="1543" w:type="dxa"/>
            <w:vAlign w:val="center"/>
          </w:tcPr>
          <w:p w14:paraId="10A4A94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eastAsia="宋体"/>
                <w:snapToGrid w:val="0"/>
                <w:kern w:val="0"/>
                <w:sz w:val="24"/>
                <w:szCs w:val="24"/>
                <w:lang w:val="en-US" w:eastAsia="zh-CN"/>
              </w:rPr>
            </w:pPr>
            <w:r>
              <w:rPr>
                <w:rFonts w:hint="eastAsia" w:ascii="宋体" w:hAnsi="宋体"/>
                <w:snapToGrid w:val="0"/>
                <w:kern w:val="0"/>
                <w:sz w:val="24"/>
                <w:szCs w:val="24"/>
                <w:lang w:val="en-US" w:eastAsia="zh-CN"/>
              </w:rPr>
              <w:t>履约情况</w:t>
            </w:r>
          </w:p>
        </w:tc>
        <w:tc>
          <w:tcPr>
            <w:tcW w:w="1210" w:type="dxa"/>
            <w:vAlign w:val="center"/>
          </w:tcPr>
          <w:p w14:paraId="198D4210">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eastAsia="宋体"/>
                <w:snapToGrid w:val="0"/>
                <w:kern w:val="0"/>
                <w:sz w:val="24"/>
                <w:szCs w:val="24"/>
                <w:lang w:val="en-US" w:eastAsia="zh-CN"/>
              </w:rPr>
            </w:pPr>
            <w:r>
              <w:rPr>
                <w:rFonts w:hint="eastAsia" w:ascii="宋体" w:hAnsi="宋体"/>
                <w:snapToGrid w:val="0"/>
                <w:kern w:val="0"/>
                <w:sz w:val="24"/>
                <w:szCs w:val="24"/>
                <w:lang w:val="en-US" w:eastAsia="zh-CN"/>
              </w:rPr>
              <w:t>建设性质</w:t>
            </w:r>
          </w:p>
        </w:tc>
        <w:tc>
          <w:tcPr>
            <w:tcW w:w="1138" w:type="dxa"/>
            <w:vAlign w:val="center"/>
          </w:tcPr>
          <w:p w14:paraId="55624C5A">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lang w:eastAsia="en-US"/>
              </w:rPr>
            </w:pPr>
            <w:r>
              <w:rPr>
                <w:rFonts w:hint="eastAsia" w:ascii="宋体" w:hAnsi="宋体"/>
                <w:snapToGrid w:val="0"/>
                <w:kern w:val="0"/>
                <w:sz w:val="24"/>
                <w:szCs w:val="24"/>
                <w:lang w:eastAsia="en-US"/>
              </w:rPr>
              <w:t>结构</w:t>
            </w:r>
            <w:r>
              <w:rPr>
                <w:rFonts w:hint="eastAsia" w:ascii="宋体" w:hAnsi="宋体"/>
                <w:snapToGrid w:val="0"/>
                <w:kern w:val="0"/>
                <w:sz w:val="24"/>
                <w:szCs w:val="24"/>
              </w:rPr>
              <w:t xml:space="preserve">  </w:t>
            </w:r>
            <w:r>
              <w:rPr>
                <w:rFonts w:hint="eastAsia" w:ascii="宋体" w:hAnsi="宋体"/>
                <w:snapToGrid w:val="0"/>
                <w:kern w:val="0"/>
                <w:sz w:val="24"/>
                <w:szCs w:val="24"/>
                <w:lang w:eastAsia="en-US"/>
              </w:rPr>
              <w:t>特征</w:t>
            </w:r>
          </w:p>
        </w:tc>
        <w:tc>
          <w:tcPr>
            <w:tcW w:w="988" w:type="dxa"/>
            <w:vAlign w:val="center"/>
          </w:tcPr>
          <w:p w14:paraId="5CEFF3C2">
            <w:pPr>
              <w:keepNext w:val="0"/>
              <w:keepLines w:val="0"/>
              <w:pageBreakBefore w:val="0"/>
              <w:suppressLineNumbers w:val="0"/>
              <w:kinsoku/>
              <w:wordWrap/>
              <w:overflowPunct/>
              <w:topLinePunct w:val="0"/>
              <w:bidi w:val="0"/>
              <w:spacing w:before="0" w:beforeAutospacing="0" w:after="0" w:afterAutospacing="0" w:line="300" w:lineRule="auto"/>
              <w:ind w:left="0" w:right="0"/>
              <w:jc w:val="center"/>
              <w:textAlignment w:val="auto"/>
              <w:rPr>
                <w:rFonts w:hint="default" w:ascii="宋体" w:hAnsi="宋体"/>
                <w:snapToGrid w:val="0"/>
                <w:kern w:val="0"/>
                <w:sz w:val="24"/>
                <w:szCs w:val="24"/>
              </w:rPr>
            </w:pPr>
            <w:r>
              <w:rPr>
                <w:rFonts w:hint="eastAsia" w:ascii="宋体" w:hAnsi="宋体"/>
                <w:snapToGrid w:val="0"/>
                <w:kern w:val="0"/>
                <w:sz w:val="24"/>
                <w:szCs w:val="24"/>
                <w:lang w:eastAsia="en-US"/>
              </w:rPr>
              <w:t>业务</w:t>
            </w:r>
            <w:r>
              <w:rPr>
                <w:rFonts w:hint="eastAsia" w:ascii="宋体" w:hAnsi="宋体"/>
                <w:snapToGrid w:val="0"/>
                <w:kern w:val="0"/>
                <w:sz w:val="24"/>
                <w:szCs w:val="24"/>
              </w:rPr>
              <w:t>类别</w:t>
            </w:r>
          </w:p>
        </w:tc>
      </w:tr>
      <w:tr w14:paraId="524F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tcPr>
          <w:p w14:paraId="0A8DF3C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50" w:type="dxa"/>
          </w:tcPr>
          <w:p w14:paraId="63F3CC3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07" w:type="dxa"/>
          </w:tcPr>
          <w:p w14:paraId="3F3E5F0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543" w:type="dxa"/>
          </w:tcPr>
          <w:p w14:paraId="543422D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210" w:type="dxa"/>
          </w:tcPr>
          <w:p w14:paraId="55D0818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138" w:type="dxa"/>
          </w:tcPr>
          <w:p w14:paraId="7405A3F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988" w:type="dxa"/>
          </w:tcPr>
          <w:p w14:paraId="3708D8D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r>
      <w:tr w14:paraId="42B8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tcPr>
          <w:p w14:paraId="7492F29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50" w:type="dxa"/>
          </w:tcPr>
          <w:p w14:paraId="45CD2F2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07" w:type="dxa"/>
          </w:tcPr>
          <w:p w14:paraId="54E1FF3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543" w:type="dxa"/>
          </w:tcPr>
          <w:p w14:paraId="50CFEB3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210" w:type="dxa"/>
          </w:tcPr>
          <w:p w14:paraId="5090943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138" w:type="dxa"/>
          </w:tcPr>
          <w:p w14:paraId="33B1FFA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988" w:type="dxa"/>
          </w:tcPr>
          <w:p w14:paraId="7E447BC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r>
      <w:tr w14:paraId="6F67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tcPr>
          <w:p w14:paraId="1187654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50" w:type="dxa"/>
          </w:tcPr>
          <w:p w14:paraId="29B9ABC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07" w:type="dxa"/>
          </w:tcPr>
          <w:p w14:paraId="47E4EE3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543" w:type="dxa"/>
          </w:tcPr>
          <w:p w14:paraId="5733E45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210" w:type="dxa"/>
          </w:tcPr>
          <w:p w14:paraId="0006D41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138" w:type="dxa"/>
          </w:tcPr>
          <w:p w14:paraId="5A9D676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988" w:type="dxa"/>
          </w:tcPr>
          <w:p w14:paraId="0D49A88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r>
      <w:tr w14:paraId="0841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5" w:type="dxa"/>
          </w:tcPr>
          <w:p w14:paraId="0242AC3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50" w:type="dxa"/>
          </w:tcPr>
          <w:p w14:paraId="33FC88F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07" w:type="dxa"/>
          </w:tcPr>
          <w:p w14:paraId="1B77E82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543" w:type="dxa"/>
          </w:tcPr>
          <w:p w14:paraId="1286C01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210" w:type="dxa"/>
          </w:tcPr>
          <w:p w14:paraId="5CC1969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138" w:type="dxa"/>
          </w:tcPr>
          <w:p w14:paraId="1B2C1C10">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988" w:type="dxa"/>
          </w:tcPr>
          <w:p w14:paraId="14B0CC6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r>
      <w:tr w14:paraId="5892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25" w:type="dxa"/>
          </w:tcPr>
          <w:p w14:paraId="4841FCD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50" w:type="dxa"/>
          </w:tcPr>
          <w:p w14:paraId="23F8714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07" w:type="dxa"/>
          </w:tcPr>
          <w:p w14:paraId="00AAA44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543" w:type="dxa"/>
          </w:tcPr>
          <w:p w14:paraId="7E233B9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210" w:type="dxa"/>
          </w:tcPr>
          <w:p w14:paraId="2BCFCB2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138" w:type="dxa"/>
          </w:tcPr>
          <w:p w14:paraId="637AEEE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988" w:type="dxa"/>
          </w:tcPr>
          <w:p w14:paraId="62A7A47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r>
      <w:tr w14:paraId="45DD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125" w:type="dxa"/>
          </w:tcPr>
          <w:p w14:paraId="140D2D8E">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50" w:type="dxa"/>
          </w:tcPr>
          <w:p w14:paraId="27640C5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07" w:type="dxa"/>
          </w:tcPr>
          <w:p w14:paraId="0878F99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543" w:type="dxa"/>
          </w:tcPr>
          <w:p w14:paraId="0EA1E30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210" w:type="dxa"/>
          </w:tcPr>
          <w:p w14:paraId="6A8E8D0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138" w:type="dxa"/>
          </w:tcPr>
          <w:p w14:paraId="3BD0316C">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988" w:type="dxa"/>
          </w:tcPr>
          <w:p w14:paraId="3D7769F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r>
      <w:tr w14:paraId="4F11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125" w:type="dxa"/>
          </w:tcPr>
          <w:p w14:paraId="318D0C7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50" w:type="dxa"/>
          </w:tcPr>
          <w:p w14:paraId="65F8969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07" w:type="dxa"/>
          </w:tcPr>
          <w:p w14:paraId="4F0F813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543" w:type="dxa"/>
          </w:tcPr>
          <w:p w14:paraId="0FF3D3E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210" w:type="dxa"/>
          </w:tcPr>
          <w:p w14:paraId="67DB339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138" w:type="dxa"/>
          </w:tcPr>
          <w:p w14:paraId="25F8577D">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988" w:type="dxa"/>
          </w:tcPr>
          <w:p w14:paraId="3BF43E3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r>
      <w:tr w14:paraId="4545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 w:hRule="atLeast"/>
        </w:trPr>
        <w:tc>
          <w:tcPr>
            <w:tcW w:w="1125" w:type="dxa"/>
          </w:tcPr>
          <w:p w14:paraId="74629735">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50" w:type="dxa"/>
          </w:tcPr>
          <w:p w14:paraId="38D4D82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07" w:type="dxa"/>
          </w:tcPr>
          <w:p w14:paraId="3EAC73E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543" w:type="dxa"/>
          </w:tcPr>
          <w:p w14:paraId="1EF3326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210" w:type="dxa"/>
          </w:tcPr>
          <w:p w14:paraId="2949553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138" w:type="dxa"/>
          </w:tcPr>
          <w:p w14:paraId="2D51309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988" w:type="dxa"/>
          </w:tcPr>
          <w:p w14:paraId="7F5BCA0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r>
      <w:tr w14:paraId="0467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 w:hRule="atLeast"/>
        </w:trPr>
        <w:tc>
          <w:tcPr>
            <w:tcW w:w="1125" w:type="dxa"/>
          </w:tcPr>
          <w:p w14:paraId="410D239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50" w:type="dxa"/>
          </w:tcPr>
          <w:p w14:paraId="54FBD96A">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07" w:type="dxa"/>
          </w:tcPr>
          <w:p w14:paraId="79D81319">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543" w:type="dxa"/>
          </w:tcPr>
          <w:p w14:paraId="0181F5CF">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210" w:type="dxa"/>
          </w:tcPr>
          <w:p w14:paraId="00273228">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138" w:type="dxa"/>
          </w:tcPr>
          <w:p w14:paraId="477C1E0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988" w:type="dxa"/>
          </w:tcPr>
          <w:p w14:paraId="444952E7">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r>
      <w:tr w14:paraId="7953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 w:hRule="atLeast"/>
        </w:trPr>
        <w:tc>
          <w:tcPr>
            <w:tcW w:w="1125" w:type="dxa"/>
          </w:tcPr>
          <w:p w14:paraId="6DDC51D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50" w:type="dxa"/>
          </w:tcPr>
          <w:p w14:paraId="638C546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607" w:type="dxa"/>
          </w:tcPr>
          <w:p w14:paraId="64DCBACB">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543" w:type="dxa"/>
          </w:tcPr>
          <w:p w14:paraId="632D8DF2">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210" w:type="dxa"/>
          </w:tcPr>
          <w:p w14:paraId="60EC0B23">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1138" w:type="dxa"/>
          </w:tcPr>
          <w:p w14:paraId="1B8E1DC4">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c>
          <w:tcPr>
            <w:tcW w:w="988" w:type="dxa"/>
          </w:tcPr>
          <w:p w14:paraId="08B9FF06">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Cs w:val="21"/>
                <w:lang w:eastAsia="en-US"/>
              </w:rPr>
            </w:pPr>
          </w:p>
        </w:tc>
      </w:tr>
      <w:tr w14:paraId="5C08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9261" w:type="dxa"/>
            <w:gridSpan w:val="7"/>
          </w:tcPr>
          <w:p w14:paraId="4AC9A871">
            <w:pPr>
              <w:keepNext w:val="0"/>
              <w:keepLines w:val="0"/>
              <w:pageBreakBefore w:val="0"/>
              <w:suppressLineNumbers w:val="0"/>
              <w:kinsoku/>
              <w:wordWrap/>
              <w:overflowPunct/>
              <w:topLinePunct w:val="0"/>
              <w:bidi w:val="0"/>
              <w:spacing w:before="0" w:beforeAutospacing="0" w:after="0" w:afterAutospacing="0" w:line="300" w:lineRule="auto"/>
              <w:ind w:left="0" w:right="0"/>
              <w:jc w:val="left"/>
              <w:textAlignment w:val="auto"/>
              <w:rPr>
                <w:rFonts w:hint="default" w:ascii="宋体" w:hAnsi="宋体"/>
                <w:snapToGrid w:val="0"/>
                <w:kern w:val="0"/>
                <w:sz w:val="24"/>
                <w:szCs w:val="24"/>
                <w:lang w:eastAsia="en-US"/>
              </w:rPr>
            </w:pPr>
            <w:r>
              <w:rPr>
                <w:rFonts w:hint="eastAsia" w:ascii="宋体" w:hAnsi="宋体"/>
                <w:b/>
                <w:color w:val="000000"/>
                <w:sz w:val="24"/>
                <w:szCs w:val="24"/>
              </w:rPr>
              <w:t>附注：</w:t>
            </w:r>
            <w:r>
              <w:rPr>
                <w:rFonts w:hint="eastAsia" w:ascii="宋体" w:hAnsi="宋体"/>
                <w:color w:val="000000"/>
                <w:sz w:val="24"/>
                <w:szCs w:val="24"/>
              </w:rPr>
              <w:t>投标单位</w:t>
            </w:r>
            <w:r>
              <w:rPr>
                <w:rFonts w:hint="eastAsia" w:ascii="宋体" w:hAnsi="宋体"/>
                <w:color w:val="000000"/>
                <w:sz w:val="24"/>
                <w:szCs w:val="24"/>
                <w:lang w:eastAsia="zh-CN"/>
              </w:rPr>
              <w:t>所</w:t>
            </w:r>
            <w:r>
              <w:rPr>
                <w:rFonts w:hint="eastAsia" w:ascii="宋体" w:hAnsi="宋体"/>
                <w:color w:val="000000"/>
                <w:sz w:val="24"/>
                <w:szCs w:val="24"/>
              </w:rPr>
              <w:t>提供</w:t>
            </w:r>
            <w:r>
              <w:rPr>
                <w:rFonts w:hint="eastAsia" w:ascii="宋体" w:hAnsi="宋体"/>
                <w:color w:val="000000"/>
                <w:sz w:val="24"/>
                <w:szCs w:val="24"/>
                <w:lang w:eastAsia="zh-CN"/>
              </w:rPr>
              <w:t>的</w:t>
            </w:r>
            <w:r>
              <w:rPr>
                <w:rFonts w:hint="eastAsia" w:ascii="宋体" w:hAnsi="宋体"/>
                <w:color w:val="000000"/>
                <w:sz w:val="24"/>
                <w:szCs w:val="24"/>
              </w:rPr>
              <w:t>资料</w:t>
            </w:r>
            <w:r>
              <w:rPr>
                <w:rFonts w:hint="eastAsia" w:ascii="宋体" w:hAnsi="宋体"/>
                <w:color w:val="000000"/>
                <w:sz w:val="24"/>
                <w:szCs w:val="24"/>
                <w:lang w:eastAsia="zh-CN"/>
              </w:rPr>
              <w:t>应真实有效，</w:t>
            </w:r>
            <w:r>
              <w:rPr>
                <w:rFonts w:hint="eastAsia" w:ascii="宋体" w:hAnsi="宋体"/>
                <w:color w:val="000000"/>
                <w:sz w:val="24"/>
                <w:szCs w:val="24"/>
              </w:rPr>
              <w:t>如有隐瞒，一经查实，将取消中标资格并没收投标保证金。</w:t>
            </w:r>
          </w:p>
        </w:tc>
      </w:tr>
    </w:tbl>
    <w:p w14:paraId="63B5FDF9">
      <w:pPr>
        <w:pageBreakBefore w:val="0"/>
        <w:widowControl/>
        <w:kinsoku/>
        <w:wordWrap/>
        <w:overflowPunct/>
        <w:topLinePunct w:val="0"/>
        <w:bidi w:val="0"/>
        <w:spacing w:line="300" w:lineRule="auto"/>
        <w:jc w:val="both"/>
        <w:textAlignment w:val="auto"/>
        <w:rPr>
          <w:rFonts w:ascii="宋体" w:hAnsi="宋体"/>
          <w:b/>
          <w:bCs/>
          <w:kern w:val="0"/>
          <w:sz w:val="24"/>
          <w:szCs w:val="24"/>
          <w:lang w:val="zh-CN"/>
        </w:rPr>
      </w:pPr>
      <w:r>
        <w:rPr>
          <w:rFonts w:hint="eastAsia" w:ascii="宋体" w:hAnsi="宋体"/>
          <w:b/>
          <w:bCs/>
          <w:kern w:val="0"/>
          <w:sz w:val="24"/>
          <w:szCs w:val="24"/>
          <w:lang w:val="zh-CN"/>
        </w:rPr>
        <w:t>附证明文件</w:t>
      </w:r>
    </w:p>
    <w:bookmarkEnd w:id="241"/>
    <w:bookmarkEnd w:id="242"/>
    <w:bookmarkEnd w:id="243"/>
    <w:bookmarkEnd w:id="244"/>
    <w:bookmarkEnd w:id="245"/>
    <w:bookmarkEnd w:id="246"/>
    <w:bookmarkEnd w:id="247"/>
    <w:bookmarkEnd w:id="248"/>
    <w:p w14:paraId="76707A63">
      <w:pPr>
        <w:tabs>
          <w:tab w:val="left" w:pos="315"/>
        </w:tabs>
        <w:snapToGrid w:val="0"/>
        <w:spacing w:line="360" w:lineRule="exact"/>
        <w:rPr>
          <w:rFonts w:ascii="宋体" w:hAnsi="宋体" w:cs="Arial"/>
          <w:snapToGrid w:val="0"/>
          <w:color w:val="000000" w:themeColor="text1"/>
          <w:szCs w:val="21"/>
          <w14:textFill>
            <w14:solidFill>
              <w14:schemeClr w14:val="tx1"/>
            </w14:solidFill>
          </w14:textFill>
        </w:rPr>
      </w:pPr>
    </w:p>
    <w:p w14:paraId="7E8F011F">
      <w:pPr>
        <w:tabs>
          <w:tab w:val="left" w:pos="315"/>
        </w:tabs>
        <w:snapToGrid w:val="0"/>
        <w:spacing w:line="360" w:lineRule="exact"/>
        <w:ind w:firstLine="420" w:firstLineChars="200"/>
        <w:rPr>
          <w:rFonts w:ascii="宋体" w:hAnsi="宋体" w:cs="Arial"/>
          <w:snapToGrid w:val="0"/>
          <w:color w:val="000000" w:themeColor="text1"/>
          <w:szCs w:val="21"/>
          <w14:textFill>
            <w14:solidFill>
              <w14:schemeClr w14:val="tx1"/>
            </w14:solidFill>
          </w14:textFill>
        </w:rPr>
      </w:pPr>
    </w:p>
    <w:p w14:paraId="1418EDD4">
      <w:pPr>
        <w:widowControl/>
        <w:jc w:val="left"/>
        <w:rPr>
          <w:rFonts w:ascii="宋体" w:hAnsi="宋体"/>
          <w:b/>
          <w:bCs/>
          <w:color w:val="000000"/>
          <w:sz w:val="32"/>
          <w:szCs w:val="32"/>
        </w:rPr>
      </w:pPr>
      <w:r>
        <w:rPr>
          <w:rFonts w:ascii="宋体" w:hAnsi="宋体"/>
          <w:color w:val="000000" w:themeColor="text1"/>
          <w:kern w:val="0"/>
          <w14:textFill>
            <w14:solidFill>
              <w14:schemeClr w14:val="tx1"/>
            </w14:solidFill>
          </w14:textFill>
        </w:rPr>
        <w:br w:type="page"/>
      </w:r>
    </w:p>
    <w:p w14:paraId="30352847">
      <w:pPr>
        <w:pStyle w:val="4"/>
        <w:pageBreakBefore w:val="0"/>
        <w:kinsoku/>
        <w:wordWrap/>
        <w:overflowPunct/>
        <w:topLinePunct w:val="0"/>
        <w:bidi w:val="0"/>
        <w:spacing w:before="0" w:after="0" w:line="300" w:lineRule="auto"/>
        <w:jc w:val="center"/>
        <w:textAlignment w:val="auto"/>
        <w:rPr>
          <w:rFonts w:ascii="宋体" w:hAnsi="宋体"/>
          <w:color w:val="000000"/>
        </w:rPr>
      </w:pPr>
      <w:bookmarkStart w:id="265" w:name="_Toc16272"/>
      <w:bookmarkStart w:id="266" w:name="_Toc21706"/>
      <w:bookmarkStart w:id="267" w:name="_Toc11963"/>
      <w:bookmarkStart w:id="268" w:name="_Toc12555"/>
      <w:bookmarkStart w:id="269" w:name="_Toc19413"/>
      <w:bookmarkStart w:id="270" w:name="_Toc10506"/>
      <w:r>
        <w:rPr>
          <w:rFonts w:hint="eastAsia" w:ascii="宋体" w:hAnsi="宋体"/>
          <w:color w:val="000000"/>
          <w:lang w:val="en-US" w:eastAsia="zh-CN"/>
        </w:rPr>
        <w:t>八</w:t>
      </w:r>
      <w:r>
        <w:rPr>
          <w:rFonts w:hint="eastAsia" w:ascii="宋体" w:hAnsi="宋体"/>
          <w:color w:val="000000"/>
        </w:rPr>
        <w:t>、近三年来已完及在建类似工程情况一览表</w:t>
      </w:r>
      <w:bookmarkEnd w:id="265"/>
      <w:bookmarkEnd w:id="266"/>
      <w:bookmarkEnd w:id="267"/>
      <w:bookmarkEnd w:id="268"/>
      <w:bookmarkEnd w:id="269"/>
      <w:bookmarkEnd w:id="270"/>
    </w:p>
    <w:tbl>
      <w:tblPr>
        <w:tblStyle w:val="41"/>
        <w:tblW w:w="927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181"/>
        <w:gridCol w:w="1220"/>
        <w:gridCol w:w="1190"/>
        <w:gridCol w:w="1478"/>
        <w:gridCol w:w="1550"/>
        <w:gridCol w:w="1495"/>
      </w:tblGrid>
      <w:tr w14:paraId="763450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164" w:type="dxa"/>
            <w:vAlign w:val="center"/>
          </w:tcPr>
          <w:p w14:paraId="76B49712">
            <w:pPr>
              <w:pageBreakBefore w:val="0"/>
              <w:kinsoku/>
              <w:wordWrap/>
              <w:overflowPunct/>
              <w:topLinePunct w:val="0"/>
              <w:bidi w:val="0"/>
              <w:spacing w:after="120" w:line="300" w:lineRule="auto"/>
              <w:jc w:val="center"/>
              <w:textAlignment w:val="auto"/>
              <w:rPr>
                <w:rFonts w:ascii="宋体" w:hAnsi="宋体"/>
                <w:color w:val="000000"/>
                <w:sz w:val="24"/>
                <w:szCs w:val="24"/>
              </w:rPr>
            </w:pPr>
            <w:r>
              <w:rPr>
                <w:rFonts w:hint="eastAsia" w:ascii="宋体" w:hAnsi="宋体"/>
                <w:color w:val="000000"/>
                <w:sz w:val="24"/>
                <w:szCs w:val="24"/>
              </w:rPr>
              <w:t>建设单位</w:t>
            </w:r>
          </w:p>
        </w:tc>
        <w:tc>
          <w:tcPr>
            <w:tcW w:w="1181" w:type="dxa"/>
            <w:vAlign w:val="center"/>
          </w:tcPr>
          <w:p w14:paraId="079C2CDD">
            <w:pPr>
              <w:pageBreakBefore w:val="0"/>
              <w:kinsoku/>
              <w:wordWrap/>
              <w:overflowPunct/>
              <w:topLinePunct w:val="0"/>
              <w:bidi w:val="0"/>
              <w:spacing w:after="120" w:line="300" w:lineRule="auto"/>
              <w:jc w:val="center"/>
              <w:textAlignment w:val="auto"/>
              <w:rPr>
                <w:rFonts w:ascii="宋体" w:hAnsi="宋体"/>
                <w:color w:val="000000"/>
                <w:sz w:val="24"/>
                <w:szCs w:val="24"/>
              </w:rPr>
            </w:pPr>
            <w:r>
              <w:rPr>
                <w:rFonts w:hint="eastAsia" w:ascii="宋体" w:hAnsi="宋体"/>
                <w:color w:val="000000"/>
                <w:sz w:val="24"/>
                <w:szCs w:val="24"/>
              </w:rPr>
              <w:t>项目名称</w:t>
            </w:r>
          </w:p>
        </w:tc>
        <w:tc>
          <w:tcPr>
            <w:tcW w:w="1220" w:type="dxa"/>
            <w:vAlign w:val="center"/>
          </w:tcPr>
          <w:p w14:paraId="02D541BC">
            <w:pPr>
              <w:pageBreakBefore w:val="0"/>
              <w:kinsoku/>
              <w:wordWrap/>
              <w:overflowPunct/>
              <w:topLinePunct w:val="0"/>
              <w:bidi w:val="0"/>
              <w:spacing w:after="120" w:line="300" w:lineRule="auto"/>
              <w:jc w:val="center"/>
              <w:textAlignment w:val="auto"/>
              <w:rPr>
                <w:rFonts w:ascii="宋体" w:hAnsi="宋体"/>
                <w:color w:val="000000"/>
                <w:sz w:val="24"/>
                <w:szCs w:val="24"/>
              </w:rPr>
            </w:pPr>
            <w:r>
              <w:rPr>
                <w:rFonts w:hint="eastAsia" w:ascii="宋体" w:hAnsi="宋体"/>
                <w:color w:val="000000"/>
                <w:sz w:val="24"/>
                <w:szCs w:val="24"/>
              </w:rPr>
              <w:t>建设地点</w:t>
            </w:r>
          </w:p>
        </w:tc>
        <w:tc>
          <w:tcPr>
            <w:tcW w:w="1190" w:type="dxa"/>
            <w:vAlign w:val="center"/>
          </w:tcPr>
          <w:p w14:paraId="65DF5152">
            <w:pPr>
              <w:pageBreakBefore w:val="0"/>
              <w:kinsoku/>
              <w:wordWrap/>
              <w:overflowPunct/>
              <w:topLinePunct w:val="0"/>
              <w:bidi w:val="0"/>
              <w:spacing w:after="120" w:line="300" w:lineRule="auto"/>
              <w:jc w:val="center"/>
              <w:textAlignment w:val="auto"/>
              <w:rPr>
                <w:rFonts w:ascii="宋体" w:hAnsi="宋体"/>
                <w:color w:val="000000"/>
                <w:sz w:val="24"/>
                <w:szCs w:val="24"/>
              </w:rPr>
            </w:pPr>
            <w:r>
              <w:rPr>
                <w:rFonts w:hint="eastAsia" w:ascii="宋体" w:hAnsi="宋体"/>
                <w:color w:val="000000"/>
                <w:sz w:val="24"/>
                <w:szCs w:val="24"/>
              </w:rPr>
              <w:t>建设规模</w:t>
            </w:r>
          </w:p>
        </w:tc>
        <w:tc>
          <w:tcPr>
            <w:tcW w:w="1478" w:type="dxa"/>
            <w:vAlign w:val="center"/>
          </w:tcPr>
          <w:p w14:paraId="767C4956">
            <w:pPr>
              <w:pageBreakBefore w:val="0"/>
              <w:kinsoku/>
              <w:wordWrap/>
              <w:overflowPunct/>
              <w:topLinePunct w:val="0"/>
              <w:bidi w:val="0"/>
              <w:spacing w:line="300" w:lineRule="auto"/>
              <w:jc w:val="center"/>
              <w:textAlignment w:val="auto"/>
              <w:rPr>
                <w:rFonts w:ascii="宋体" w:hAnsi="宋体"/>
                <w:color w:val="000000"/>
                <w:sz w:val="24"/>
                <w:szCs w:val="24"/>
              </w:rPr>
            </w:pPr>
            <w:r>
              <w:rPr>
                <w:rFonts w:hint="eastAsia" w:ascii="宋体" w:hAnsi="宋体"/>
                <w:color w:val="000000"/>
                <w:sz w:val="24"/>
                <w:szCs w:val="24"/>
              </w:rPr>
              <w:t>开、竣工</w:t>
            </w:r>
          </w:p>
          <w:p w14:paraId="0546B7F9">
            <w:pPr>
              <w:pageBreakBefore w:val="0"/>
              <w:kinsoku/>
              <w:wordWrap/>
              <w:overflowPunct/>
              <w:topLinePunct w:val="0"/>
              <w:bidi w:val="0"/>
              <w:spacing w:line="300" w:lineRule="auto"/>
              <w:jc w:val="center"/>
              <w:textAlignment w:val="auto"/>
              <w:rPr>
                <w:rFonts w:ascii="宋体" w:hAnsi="宋体"/>
                <w:color w:val="000000"/>
                <w:sz w:val="24"/>
                <w:szCs w:val="24"/>
              </w:rPr>
            </w:pPr>
            <w:r>
              <w:rPr>
                <w:rFonts w:hint="eastAsia" w:ascii="宋体" w:hAnsi="宋体"/>
                <w:color w:val="000000"/>
                <w:sz w:val="24"/>
                <w:szCs w:val="24"/>
              </w:rPr>
              <w:t>日期</w:t>
            </w:r>
          </w:p>
        </w:tc>
        <w:tc>
          <w:tcPr>
            <w:tcW w:w="1550" w:type="dxa"/>
            <w:vAlign w:val="center"/>
          </w:tcPr>
          <w:p w14:paraId="05EAB5D3">
            <w:pPr>
              <w:pageBreakBefore w:val="0"/>
              <w:kinsoku/>
              <w:wordWrap/>
              <w:overflowPunct/>
              <w:topLinePunct w:val="0"/>
              <w:bidi w:val="0"/>
              <w:spacing w:after="120" w:line="300" w:lineRule="auto"/>
              <w:jc w:val="center"/>
              <w:textAlignment w:val="auto"/>
              <w:rPr>
                <w:rFonts w:ascii="宋体" w:hAnsi="宋体"/>
                <w:color w:val="000000"/>
                <w:sz w:val="24"/>
                <w:szCs w:val="24"/>
              </w:rPr>
            </w:pPr>
            <w:r>
              <w:rPr>
                <w:rFonts w:hint="eastAsia" w:ascii="宋体" w:hAnsi="宋体"/>
                <w:color w:val="000000"/>
                <w:sz w:val="24"/>
                <w:szCs w:val="24"/>
              </w:rPr>
              <w:t>合同价格</w:t>
            </w:r>
          </w:p>
        </w:tc>
        <w:tc>
          <w:tcPr>
            <w:tcW w:w="1495" w:type="dxa"/>
            <w:vAlign w:val="center"/>
          </w:tcPr>
          <w:p w14:paraId="42ACC6D6">
            <w:pPr>
              <w:pageBreakBefore w:val="0"/>
              <w:kinsoku/>
              <w:wordWrap/>
              <w:overflowPunct/>
              <w:topLinePunct w:val="0"/>
              <w:bidi w:val="0"/>
              <w:spacing w:line="300" w:lineRule="auto"/>
              <w:jc w:val="center"/>
              <w:textAlignment w:val="auto"/>
              <w:rPr>
                <w:rFonts w:ascii="宋体" w:hAnsi="宋体"/>
                <w:color w:val="000000"/>
                <w:sz w:val="24"/>
                <w:szCs w:val="24"/>
              </w:rPr>
            </w:pPr>
            <w:r>
              <w:rPr>
                <w:rFonts w:hint="eastAsia" w:ascii="宋体" w:hAnsi="宋体"/>
                <w:color w:val="000000"/>
                <w:sz w:val="24"/>
                <w:szCs w:val="24"/>
              </w:rPr>
              <w:t>质量达到标准</w:t>
            </w:r>
          </w:p>
        </w:tc>
      </w:tr>
      <w:tr w14:paraId="4CD215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164" w:type="dxa"/>
          </w:tcPr>
          <w:p w14:paraId="02442B4C">
            <w:pPr>
              <w:pageBreakBefore w:val="0"/>
              <w:kinsoku/>
              <w:wordWrap/>
              <w:overflowPunct/>
              <w:topLinePunct w:val="0"/>
              <w:bidi w:val="0"/>
              <w:spacing w:after="120" w:line="300" w:lineRule="auto"/>
              <w:textAlignment w:val="auto"/>
              <w:rPr>
                <w:rFonts w:ascii="宋体" w:hAnsi="宋体"/>
                <w:color w:val="000000"/>
                <w:sz w:val="24"/>
                <w:szCs w:val="24"/>
              </w:rPr>
            </w:pPr>
          </w:p>
        </w:tc>
        <w:tc>
          <w:tcPr>
            <w:tcW w:w="1181" w:type="dxa"/>
          </w:tcPr>
          <w:p w14:paraId="7C48B670">
            <w:pPr>
              <w:pageBreakBefore w:val="0"/>
              <w:kinsoku/>
              <w:wordWrap/>
              <w:overflowPunct/>
              <w:topLinePunct w:val="0"/>
              <w:bidi w:val="0"/>
              <w:spacing w:after="120" w:line="300" w:lineRule="auto"/>
              <w:textAlignment w:val="auto"/>
              <w:rPr>
                <w:rFonts w:ascii="宋体" w:hAnsi="宋体"/>
                <w:color w:val="000000"/>
                <w:sz w:val="24"/>
                <w:szCs w:val="24"/>
              </w:rPr>
            </w:pPr>
          </w:p>
        </w:tc>
        <w:tc>
          <w:tcPr>
            <w:tcW w:w="1220" w:type="dxa"/>
          </w:tcPr>
          <w:p w14:paraId="78FA92C3">
            <w:pPr>
              <w:pageBreakBefore w:val="0"/>
              <w:kinsoku/>
              <w:wordWrap/>
              <w:overflowPunct/>
              <w:topLinePunct w:val="0"/>
              <w:bidi w:val="0"/>
              <w:spacing w:after="120" w:line="300" w:lineRule="auto"/>
              <w:textAlignment w:val="auto"/>
              <w:rPr>
                <w:rFonts w:ascii="宋体" w:hAnsi="宋体"/>
                <w:color w:val="000000"/>
                <w:sz w:val="24"/>
                <w:szCs w:val="24"/>
              </w:rPr>
            </w:pPr>
          </w:p>
        </w:tc>
        <w:tc>
          <w:tcPr>
            <w:tcW w:w="1190" w:type="dxa"/>
          </w:tcPr>
          <w:p w14:paraId="5F13C352">
            <w:pPr>
              <w:pageBreakBefore w:val="0"/>
              <w:kinsoku/>
              <w:wordWrap/>
              <w:overflowPunct/>
              <w:topLinePunct w:val="0"/>
              <w:bidi w:val="0"/>
              <w:spacing w:after="120" w:line="300" w:lineRule="auto"/>
              <w:textAlignment w:val="auto"/>
              <w:rPr>
                <w:rFonts w:ascii="宋体" w:hAnsi="宋体"/>
                <w:color w:val="000000"/>
                <w:sz w:val="24"/>
                <w:szCs w:val="24"/>
              </w:rPr>
            </w:pPr>
          </w:p>
        </w:tc>
        <w:tc>
          <w:tcPr>
            <w:tcW w:w="1478" w:type="dxa"/>
          </w:tcPr>
          <w:p w14:paraId="34C0CD32">
            <w:pPr>
              <w:pageBreakBefore w:val="0"/>
              <w:kinsoku/>
              <w:wordWrap/>
              <w:overflowPunct/>
              <w:topLinePunct w:val="0"/>
              <w:bidi w:val="0"/>
              <w:spacing w:after="120" w:line="300" w:lineRule="auto"/>
              <w:textAlignment w:val="auto"/>
              <w:rPr>
                <w:rFonts w:ascii="宋体" w:hAnsi="宋体"/>
                <w:color w:val="000000"/>
                <w:sz w:val="24"/>
                <w:szCs w:val="24"/>
              </w:rPr>
            </w:pPr>
          </w:p>
        </w:tc>
        <w:tc>
          <w:tcPr>
            <w:tcW w:w="1550" w:type="dxa"/>
          </w:tcPr>
          <w:p w14:paraId="73EE78DB">
            <w:pPr>
              <w:pageBreakBefore w:val="0"/>
              <w:kinsoku/>
              <w:wordWrap/>
              <w:overflowPunct/>
              <w:topLinePunct w:val="0"/>
              <w:bidi w:val="0"/>
              <w:spacing w:after="120" w:line="300" w:lineRule="auto"/>
              <w:textAlignment w:val="auto"/>
              <w:rPr>
                <w:rFonts w:ascii="宋体" w:hAnsi="宋体"/>
                <w:color w:val="000000"/>
                <w:sz w:val="24"/>
                <w:szCs w:val="24"/>
              </w:rPr>
            </w:pPr>
          </w:p>
        </w:tc>
        <w:tc>
          <w:tcPr>
            <w:tcW w:w="1495" w:type="dxa"/>
          </w:tcPr>
          <w:p w14:paraId="5E44F5E5">
            <w:pPr>
              <w:pageBreakBefore w:val="0"/>
              <w:kinsoku/>
              <w:wordWrap/>
              <w:overflowPunct/>
              <w:topLinePunct w:val="0"/>
              <w:bidi w:val="0"/>
              <w:spacing w:after="120" w:line="300" w:lineRule="auto"/>
              <w:textAlignment w:val="auto"/>
              <w:rPr>
                <w:rFonts w:ascii="宋体" w:hAnsi="宋体"/>
                <w:color w:val="000000"/>
                <w:sz w:val="24"/>
                <w:szCs w:val="24"/>
              </w:rPr>
            </w:pPr>
          </w:p>
        </w:tc>
      </w:tr>
      <w:tr w14:paraId="6D1A08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164" w:type="dxa"/>
          </w:tcPr>
          <w:p w14:paraId="788AD410">
            <w:pPr>
              <w:pageBreakBefore w:val="0"/>
              <w:kinsoku/>
              <w:wordWrap/>
              <w:overflowPunct/>
              <w:topLinePunct w:val="0"/>
              <w:bidi w:val="0"/>
              <w:spacing w:after="120" w:line="300" w:lineRule="auto"/>
              <w:textAlignment w:val="auto"/>
              <w:rPr>
                <w:rFonts w:ascii="宋体" w:hAnsi="宋体"/>
                <w:color w:val="000000"/>
                <w:sz w:val="24"/>
                <w:szCs w:val="24"/>
              </w:rPr>
            </w:pPr>
          </w:p>
        </w:tc>
        <w:tc>
          <w:tcPr>
            <w:tcW w:w="1181" w:type="dxa"/>
          </w:tcPr>
          <w:p w14:paraId="43D42E88">
            <w:pPr>
              <w:pageBreakBefore w:val="0"/>
              <w:kinsoku/>
              <w:wordWrap/>
              <w:overflowPunct/>
              <w:topLinePunct w:val="0"/>
              <w:bidi w:val="0"/>
              <w:spacing w:after="120" w:line="300" w:lineRule="auto"/>
              <w:textAlignment w:val="auto"/>
              <w:rPr>
                <w:rFonts w:ascii="宋体" w:hAnsi="宋体"/>
                <w:color w:val="000000"/>
                <w:sz w:val="24"/>
                <w:szCs w:val="24"/>
              </w:rPr>
            </w:pPr>
          </w:p>
        </w:tc>
        <w:tc>
          <w:tcPr>
            <w:tcW w:w="1220" w:type="dxa"/>
          </w:tcPr>
          <w:p w14:paraId="0D382C78">
            <w:pPr>
              <w:pageBreakBefore w:val="0"/>
              <w:kinsoku/>
              <w:wordWrap/>
              <w:overflowPunct/>
              <w:topLinePunct w:val="0"/>
              <w:bidi w:val="0"/>
              <w:spacing w:after="120" w:line="300" w:lineRule="auto"/>
              <w:textAlignment w:val="auto"/>
              <w:rPr>
                <w:rFonts w:ascii="宋体" w:hAnsi="宋体"/>
                <w:color w:val="000000"/>
                <w:sz w:val="24"/>
                <w:szCs w:val="24"/>
              </w:rPr>
            </w:pPr>
          </w:p>
        </w:tc>
        <w:tc>
          <w:tcPr>
            <w:tcW w:w="1190" w:type="dxa"/>
          </w:tcPr>
          <w:p w14:paraId="7787C96A">
            <w:pPr>
              <w:pageBreakBefore w:val="0"/>
              <w:kinsoku/>
              <w:wordWrap/>
              <w:overflowPunct/>
              <w:topLinePunct w:val="0"/>
              <w:bidi w:val="0"/>
              <w:spacing w:after="120" w:line="300" w:lineRule="auto"/>
              <w:textAlignment w:val="auto"/>
              <w:rPr>
                <w:rFonts w:ascii="宋体" w:hAnsi="宋体"/>
                <w:color w:val="000000"/>
                <w:sz w:val="24"/>
                <w:szCs w:val="24"/>
              </w:rPr>
            </w:pPr>
          </w:p>
        </w:tc>
        <w:tc>
          <w:tcPr>
            <w:tcW w:w="1478" w:type="dxa"/>
          </w:tcPr>
          <w:p w14:paraId="259F9453">
            <w:pPr>
              <w:pageBreakBefore w:val="0"/>
              <w:kinsoku/>
              <w:wordWrap/>
              <w:overflowPunct/>
              <w:topLinePunct w:val="0"/>
              <w:bidi w:val="0"/>
              <w:spacing w:after="120" w:line="300" w:lineRule="auto"/>
              <w:textAlignment w:val="auto"/>
              <w:rPr>
                <w:rFonts w:ascii="宋体" w:hAnsi="宋体"/>
                <w:color w:val="000000"/>
                <w:sz w:val="24"/>
                <w:szCs w:val="24"/>
              </w:rPr>
            </w:pPr>
          </w:p>
        </w:tc>
        <w:tc>
          <w:tcPr>
            <w:tcW w:w="1550" w:type="dxa"/>
          </w:tcPr>
          <w:p w14:paraId="7AAF0265">
            <w:pPr>
              <w:pageBreakBefore w:val="0"/>
              <w:kinsoku/>
              <w:wordWrap/>
              <w:overflowPunct/>
              <w:topLinePunct w:val="0"/>
              <w:bidi w:val="0"/>
              <w:spacing w:after="120" w:line="300" w:lineRule="auto"/>
              <w:textAlignment w:val="auto"/>
              <w:rPr>
                <w:rFonts w:ascii="宋体" w:hAnsi="宋体"/>
                <w:color w:val="000000"/>
                <w:sz w:val="24"/>
                <w:szCs w:val="24"/>
              </w:rPr>
            </w:pPr>
          </w:p>
        </w:tc>
        <w:tc>
          <w:tcPr>
            <w:tcW w:w="1495" w:type="dxa"/>
          </w:tcPr>
          <w:p w14:paraId="54FEAE94">
            <w:pPr>
              <w:pageBreakBefore w:val="0"/>
              <w:kinsoku/>
              <w:wordWrap/>
              <w:overflowPunct/>
              <w:topLinePunct w:val="0"/>
              <w:bidi w:val="0"/>
              <w:spacing w:after="120" w:line="300" w:lineRule="auto"/>
              <w:textAlignment w:val="auto"/>
              <w:rPr>
                <w:rFonts w:ascii="宋体" w:hAnsi="宋体"/>
                <w:color w:val="000000"/>
                <w:sz w:val="24"/>
                <w:szCs w:val="24"/>
              </w:rPr>
            </w:pPr>
          </w:p>
        </w:tc>
      </w:tr>
      <w:tr w14:paraId="2C6496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164" w:type="dxa"/>
          </w:tcPr>
          <w:p w14:paraId="348B40E4">
            <w:pPr>
              <w:pageBreakBefore w:val="0"/>
              <w:kinsoku/>
              <w:wordWrap/>
              <w:overflowPunct/>
              <w:topLinePunct w:val="0"/>
              <w:bidi w:val="0"/>
              <w:spacing w:after="120" w:line="300" w:lineRule="auto"/>
              <w:textAlignment w:val="auto"/>
              <w:rPr>
                <w:rFonts w:ascii="宋体" w:hAnsi="宋体"/>
                <w:color w:val="000000"/>
                <w:sz w:val="24"/>
                <w:szCs w:val="24"/>
              </w:rPr>
            </w:pPr>
          </w:p>
        </w:tc>
        <w:tc>
          <w:tcPr>
            <w:tcW w:w="1181" w:type="dxa"/>
          </w:tcPr>
          <w:p w14:paraId="5CE28FC9">
            <w:pPr>
              <w:pageBreakBefore w:val="0"/>
              <w:kinsoku/>
              <w:wordWrap/>
              <w:overflowPunct/>
              <w:topLinePunct w:val="0"/>
              <w:bidi w:val="0"/>
              <w:spacing w:after="120" w:line="300" w:lineRule="auto"/>
              <w:textAlignment w:val="auto"/>
              <w:rPr>
                <w:rFonts w:ascii="宋体" w:hAnsi="宋体"/>
                <w:color w:val="000000"/>
                <w:sz w:val="24"/>
                <w:szCs w:val="24"/>
              </w:rPr>
            </w:pPr>
          </w:p>
        </w:tc>
        <w:tc>
          <w:tcPr>
            <w:tcW w:w="1220" w:type="dxa"/>
          </w:tcPr>
          <w:p w14:paraId="03D6D386">
            <w:pPr>
              <w:pageBreakBefore w:val="0"/>
              <w:kinsoku/>
              <w:wordWrap/>
              <w:overflowPunct/>
              <w:topLinePunct w:val="0"/>
              <w:bidi w:val="0"/>
              <w:spacing w:after="120" w:line="300" w:lineRule="auto"/>
              <w:textAlignment w:val="auto"/>
              <w:rPr>
                <w:rFonts w:ascii="宋体" w:hAnsi="宋体"/>
                <w:color w:val="000000"/>
                <w:sz w:val="24"/>
                <w:szCs w:val="24"/>
              </w:rPr>
            </w:pPr>
          </w:p>
        </w:tc>
        <w:tc>
          <w:tcPr>
            <w:tcW w:w="1190" w:type="dxa"/>
          </w:tcPr>
          <w:p w14:paraId="73842F41">
            <w:pPr>
              <w:pageBreakBefore w:val="0"/>
              <w:kinsoku/>
              <w:wordWrap/>
              <w:overflowPunct/>
              <w:topLinePunct w:val="0"/>
              <w:bidi w:val="0"/>
              <w:spacing w:after="120" w:line="300" w:lineRule="auto"/>
              <w:textAlignment w:val="auto"/>
              <w:rPr>
                <w:rFonts w:ascii="宋体" w:hAnsi="宋体"/>
                <w:color w:val="000000"/>
                <w:sz w:val="24"/>
                <w:szCs w:val="24"/>
              </w:rPr>
            </w:pPr>
          </w:p>
        </w:tc>
        <w:tc>
          <w:tcPr>
            <w:tcW w:w="1478" w:type="dxa"/>
          </w:tcPr>
          <w:p w14:paraId="20318516">
            <w:pPr>
              <w:pageBreakBefore w:val="0"/>
              <w:kinsoku/>
              <w:wordWrap/>
              <w:overflowPunct/>
              <w:topLinePunct w:val="0"/>
              <w:bidi w:val="0"/>
              <w:spacing w:after="120" w:line="300" w:lineRule="auto"/>
              <w:textAlignment w:val="auto"/>
              <w:rPr>
                <w:rFonts w:ascii="宋体" w:hAnsi="宋体"/>
                <w:color w:val="000000"/>
                <w:sz w:val="24"/>
                <w:szCs w:val="24"/>
              </w:rPr>
            </w:pPr>
          </w:p>
        </w:tc>
        <w:tc>
          <w:tcPr>
            <w:tcW w:w="1550" w:type="dxa"/>
          </w:tcPr>
          <w:p w14:paraId="110F0ED5">
            <w:pPr>
              <w:pageBreakBefore w:val="0"/>
              <w:kinsoku/>
              <w:wordWrap/>
              <w:overflowPunct/>
              <w:topLinePunct w:val="0"/>
              <w:bidi w:val="0"/>
              <w:spacing w:after="120" w:line="300" w:lineRule="auto"/>
              <w:textAlignment w:val="auto"/>
              <w:rPr>
                <w:rFonts w:ascii="宋体" w:hAnsi="宋体"/>
                <w:color w:val="000000"/>
                <w:sz w:val="24"/>
                <w:szCs w:val="24"/>
              </w:rPr>
            </w:pPr>
          </w:p>
        </w:tc>
        <w:tc>
          <w:tcPr>
            <w:tcW w:w="1495" w:type="dxa"/>
          </w:tcPr>
          <w:p w14:paraId="43056149">
            <w:pPr>
              <w:pageBreakBefore w:val="0"/>
              <w:kinsoku/>
              <w:wordWrap/>
              <w:overflowPunct/>
              <w:topLinePunct w:val="0"/>
              <w:bidi w:val="0"/>
              <w:spacing w:after="120" w:line="300" w:lineRule="auto"/>
              <w:textAlignment w:val="auto"/>
              <w:rPr>
                <w:rFonts w:ascii="宋体" w:hAnsi="宋体"/>
                <w:color w:val="000000"/>
                <w:sz w:val="24"/>
                <w:szCs w:val="24"/>
              </w:rPr>
            </w:pPr>
          </w:p>
        </w:tc>
      </w:tr>
      <w:tr w14:paraId="27064B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164" w:type="dxa"/>
          </w:tcPr>
          <w:p w14:paraId="60590F6A">
            <w:pPr>
              <w:pageBreakBefore w:val="0"/>
              <w:kinsoku/>
              <w:wordWrap/>
              <w:overflowPunct/>
              <w:topLinePunct w:val="0"/>
              <w:bidi w:val="0"/>
              <w:spacing w:after="120" w:line="300" w:lineRule="auto"/>
              <w:textAlignment w:val="auto"/>
              <w:rPr>
                <w:rFonts w:ascii="宋体" w:hAnsi="宋体"/>
                <w:color w:val="000000"/>
                <w:sz w:val="24"/>
                <w:szCs w:val="24"/>
              </w:rPr>
            </w:pPr>
          </w:p>
        </w:tc>
        <w:tc>
          <w:tcPr>
            <w:tcW w:w="1181" w:type="dxa"/>
          </w:tcPr>
          <w:p w14:paraId="5240315D">
            <w:pPr>
              <w:pageBreakBefore w:val="0"/>
              <w:kinsoku/>
              <w:wordWrap/>
              <w:overflowPunct/>
              <w:topLinePunct w:val="0"/>
              <w:bidi w:val="0"/>
              <w:spacing w:after="120" w:line="300" w:lineRule="auto"/>
              <w:textAlignment w:val="auto"/>
              <w:rPr>
                <w:rFonts w:ascii="宋体" w:hAnsi="宋体"/>
                <w:color w:val="000000"/>
                <w:sz w:val="24"/>
                <w:szCs w:val="24"/>
              </w:rPr>
            </w:pPr>
          </w:p>
        </w:tc>
        <w:tc>
          <w:tcPr>
            <w:tcW w:w="1220" w:type="dxa"/>
          </w:tcPr>
          <w:p w14:paraId="5E4E6A06">
            <w:pPr>
              <w:pageBreakBefore w:val="0"/>
              <w:kinsoku/>
              <w:wordWrap/>
              <w:overflowPunct/>
              <w:topLinePunct w:val="0"/>
              <w:bidi w:val="0"/>
              <w:spacing w:after="120" w:line="300" w:lineRule="auto"/>
              <w:textAlignment w:val="auto"/>
              <w:rPr>
                <w:rFonts w:ascii="宋体" w:hAnsi="宋体"/>
                <w:color w:val="000000"/>
                <w:sz w:val="24"/>
                <w:szCs w:val="24"/>
              </w:rPr>
            </w:pPr>
          </w:p>
        </w:tc>
        <w:tc>
          <w:tcPr>
            <w:tcW w:w="1190" w:type="dxa"/>
          </w:tcPr>
          <w:p w14:paraId="05E41A04">
            <w:pPr>
              <w:pageBreakBefore w:val="0"/>
              <w:kinsoku/>
              <w:wordWrap/>
              <w:overflowPunct/>
              <w:topLinePunct w:val="0"/>
              <w:bidi w:val="0"/>
              <w:spacing w:after="120" w:line="300" w:lineRule="auto"/>
              <w:textAlignment w:val="auto"/>
              <w:rPr>
                <w:rFonts w:ascii="宋体" w:hAnsi="宋体"/>
                <w:color w:val="000000"/>
                <w:sz w:val="24"/>
                <w:szCs w:val="24"/>
              </w:rPr>
            </w:pPr>
          </w:p>
        </w:tc>
        <w:tc>
          <w:tcPr>
            <w:tcW w:w="1478" w:type="dxa"/>
          </w:tcPr>
          <w:p w14:paraId="2CCD0817">
            <w:pPr>
              <w:pageBreakBefore w:val="0"/>
              <w:kinsoku/>
              <w:wordWrap/>
              <w:overflowPunct/>
              <w:topLinePunct w:val="0"/>
              <w:bidi w:val="0"/>
              <w:spacing w:after="120" w:line="300" w:lineRule="auto"/>
              <w:textAlignment w:val="auto"/>
              <w:rPr>
                <w:rFonts w:ascii="宋体" w:hAnsi="宋体"/>
                <w:color w:val="000000"/>
                <w:sz w:val="24"/>
                <w:szCs w:val="24"/>
              </w:rPr>
            </w:pPr>
          </w:p>
        </w:tc>
        <w:tc>
          <w:tcPr>
            <w:tcW w:w="1550" w:type="dxa"/>
          </w:tcPr>
          <w:p w14:paraId="365DD3B9">
            <w:pPr>
              <w:pageBreakBefore w:val="0"/>
              <w:kinsoku/>
              <w:wordWrap/>
              <w:overflowPunct/>
              <w:topLinePunct w:val="0"/>
              <w:bidi w:val="0"/>
              <w:spacing w:after="120" w:line="300" w:lineRule="auto"/>
              <w:textAlignment w:val="auto"/>
              <w:rPr>
                <w:rFonts w:ascii="宋体" w:hAnsi="宋体"/>
                <w:color w:val="000000"/>
                <w:sz w:val="24"/>
                <w:szCs w:val="24"/>
              </w:rPr>
            </w:pPr>
          </w:p>
        </w:tc>
        <w:tc>
          <w:tcPr>
            <w:tcW w:w="1495" w:type="dxa"/>
          </w:tcPr>
          <w:p w14:paraId="6299030C">
            <w:pPr>
              <w:pageBreakBefore w:val="0"/>
              <w:kinsoku/>
              <w:wordWrap/>
              <w:overflowPunct/>
              <w:topLinePunct w:val="0"/>
              <w:bidi w:val="0"/>
              <w:spacing w:after="120" w:line="300" w:lineRule="auto"/>
              <w:textAlignment w:val="auto"/>
              <w:rPr>
                <w:rFonts w:ascii="宋体" w:hAnsi="宋体"/>
                <w:color w:val="000000"/>
                <w:sz w:val="24"/>
                <w:szCs w:val="24"/>
              </w:rPr>
            </w:pPr>
          </w:p>
        </w:tc>
      </w:tr>
      <w:tr w14:paraId="45A10A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164" w:type="dxa"/>
          </w:tcPr>
          <w:p w14:paraId="1430C248">
            <w:pPr>
              <w:pageBreakBefore w:val="0"/>
              <w:kinsoku/>
              <w:wordWrap/>
              <w:overflowPunct/>
              <w:topLinePunct w:val="0"/>
              <w:bidi w:val="0"/>
              <w:spacing w:after="120" w:line="300" w:lineRule="auto"/>
              <w:textAlignment w:val="auto"/>
              <w:rPr>
                <w:rFonts w:ascii="宋体" w:hAnsi="宋体"/>
                <w:color w:val="000000"/>
                <w:sz w:val="24"/>
                <w:szCs w:val="24"/>
              </w:rPr>
            </w:pPr>
          </w:p>
        </w:tc>
        <w:tc>
          <w:tcPr>
            <w:tcW w:w="1181" w:type="dxa"/>
          </w:tcPr>
          <w:p w14:paraId="3829CE07">
            <w:pPr>
              <w:pageBreakBefore w:val="0"/>
              <w:kinsoku/>
              <w:wordWrap/>
              <w:overflowPunct/>
              <w:topLinePunct w:val="0"/>
              <w:bidi w:val="0"/>
              <w:spacing w:after="120" w:line="300" w:lineRule="auto"/>
              <w:textAlignment w:val="auto"/>
              <w:rPr>
                <w:rFonts w:ascii="宋体" w:hAnsi="宋体"/>
                <w:color w:val="000000"/>
                <w:sz w:val="24"/>
                <w:szCs w:val="24"/>
              </w:rPr>
            </w:pPr>
          </w:p>
        </w:tc>
        <w:tc>
          <w:tcPr>
            <w:tcW w:w="1220" w:type="dxa"/>
          </w:tcPr>
          <w:p w14:paraId="7E91D097">
            <w:pPr>
              <w:pageBreakBefore w:val="0"/>
              <w:kinsoku/>
              <w:wordWrap/>
              <w:overflowPunct/>
              <w:topLinePunct w:val="0"/>
              <w:bidi w:val="0"/>
              <w:spacing w:after="120" w:line="300" w:lineRule="auto"/>
              <w:textAlignment w:val="auto"/>
              <w:rPr>
                <w:rFonts w:ascii="宋体" w:hAnsi="宋体"/>
                <w:color w:val="000000"/>
                <w:sz w:val="24"/>
                <w:szCs w:val="24"/>
              </w:rPr>
            </w:pPr>
          </w:p>
        </w:tc>
        <w:tc>
          <w:tcPr>
            <w:tcW w:w="1190" w:type="dxa"/>
          </w:tcPr>
          <w:p w14:paraId="51E14BB4">
            <w:pPr>
              <w:pageBreakBefore w:val="0"/>
              <w:kinsoku/>
              <w:wordWrap/>
              <w:overflowPunct/>
              <w:topLinePunct w:val="0"/>
              <w:bidi w:val="0"/>
              <w:spacing w:after="120" w:line="300" w:lineRule="auto"/>
              <w:textAlignment w:val="auto"/>
              <w:rPr>
                <w:rFonts w:ascii="宋体" w:hAnsi="宋体"/>
                <w:color w:val="000000"/>
                <w:sz w:val="24"/>
                <w:szCs w:val="24"/>
              </w:rPr>
            </w:pPr>
          </w:p>
        </w:tc>
        <w:tc>
          <w:tcPr>
            <w:tcW w:w="1478" w:type="dxa"/>
          </w:tcPr>
          <w:p w14:paraId="2EEBEE90">
            <w:pPr>
              <w:pageBreakBefore w:val="0"/>
              <w:kinsoku/>
              <w:wordWrap/>
              <w:overflowPunct/>
              <w:topLinePunct w:val="0"/>
              <w:bidi w:val="0"/>
              <w:spacing w:after="120" w:line="300" w:lineRule="auto"/>
              <w:textAlignment w:val="auto"/>
              <w:rPr>
                <w:rFonts w:ascii="宋体" w:hAnsi="宋体"/>
                <w:color w:val="000000"/>
                <w:sz w:val="24"/>
                <w:szCs w:val="24"/>
              </w:rPr>
            </w:pPr>
          </w:p>
        </w:tc>
        <w:tc>
          <w:tcPr>
            <w:tcW w:w="1550" w:type="dxa"/>
          </w:tcPr>
          <w:p w14:paraId="0C4CFE0C">
            <w:pPr>
              <w:pageBreakBefore w:val="0"/>
              <w:kinsoku/>
              <w:wordWrap/>
              <w:overflowPunct/>
              <w:topLinePunct w:val="0"/>
              <w:bidi w:val="0"/>
              <w:spacing w:after="120" w:line="300" w:lineRule="auto"/>
              <w:textAlignment w:val="auto"/>
              <w:rPr>
                <w:rFonts w:ascii="宋体" w:hAnsi="宋体"/>
                <w:color w:val="000000"/>
                <w:sz w:val="24"/>
                <w:szCs w:val="24"/>
              </w:rPr>
            </w:pPr>
          </w:p>
        </w:tc>
        <w:tc>
          <w:tcPr>
            <w:tcW w:w="1495" w:type="dxa"/>
          </w:tcPr>
          <w:p w14:paraId="3F54E624">
            <w:pPr>
              <w:pageBreakBefore w:val="0"/>
              <w:kinsoku/>
              <w:wordWrap/>
              <w:overflowPunct/>
              <w:topLinePunct w:val="0"/>
              <w:bidi w:val="0"/>
              <w:spacing w:after="120" w:line="300" w:lineRule="auto"/>
              <w:textAlignment w:val="auto"/>
              <w:rPr>
                <w:rFonts w:ascii="宋体" w:hAnsi="宋体"/>
                <w:color w:val="000000"/>
                <w:sz w:val="24"/>
                <w:szCs w:val="24"/>
              </w:rPr>
            </w:pPr>
          </w:p>
        </w:tc>
      </w:tr>
      <w:tr w14:paraId="581A9A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9278" w:type="dxa"/>
            <w:gridSpan w:val="7"/>
          </w:tcPr>
          <w:p w14:paraId="6C17510B">
            <w:pPr>
              <w:pageBreakBefore w:val="0"/>
              <w:kinsoku/>
              <w:wordWrap/>
              <w:overflowPunct/>
              <w:topLinePunct w:val="0"/>
              <w:bidi w:val="0"/>
              <w:spacing w:after="120" w:line="300" w:lineRule="auto"/>
              <w:textAlignment w:val="auto"/>
              <w:rPr>
                <w:rFonts w:ascii="宋体" w:hAnsi="宋体"/>
                <w:color w:val="000000"/>
                <w:sz w:val="24"/>
                <w:szCs w:val="24"/>
              </w:rPr>
            </w:pPr>
            <w:r>
              <w:rPr>
                <w:rFonts w:hint="eastAsia" w:ascii="宋体" w:hAnsi="宋体"/>
                <w:b/>
                <w:color w:val="000000"/>
                <w:sz w:val="24"/>
                <w:szCs w:val="24"/>
              </w:rPr>
              <w:t>附注：</w:t>
            </w:r>
            <w:r>
              <w:rPr>
                <w:rFonts w:hint="eastAsia" w:ascii="宋体" w:hAnsi="宋体"/>
                <w:color w:val="000000"/>
                <w:sz w:val="24"/>
                <w:szCs w:val="24"/>
              </w:rPr>
              <w:t>投标单位应提供下列资料：①中标通知书、承包合同或工程竣工验收证明；②如有隐瞒，一经查实，将取消中标资格并没收投标保证金。</w:t>
            </w:r>
          </w:p>
        </w:tc>
      </w:tr>
    </w:tbl>
    <w:p w14:paraId="00839855">
      <w:pPr>
        <w:pageBreakBefore w:val="0"/>
        <w:kinsoku/>
        <w:wordWrap/>
        <w:overflowPunct/>
        <w:topLinePunct w:val="0"/>
        <w:bidi w:val="0"/>
        <w:spacing w:line="300" w:lineRule="auto"/>
        <w:textAlignment w:val="auto"/>
        <w:rPr>
          <w:rFonts w:cs="Arial" w:asciiTheme="minorEastAsia" w:hAnsiTheme="minorEastAsia" w:eastAsiaTheme="minorEastAsia"/>
          <w:snapToGrid w:val="0"/>
          <w:color w:val="000000" w:themeColor="text1"/>
          <w:szCs w:val="21"/>
          <w14:textFill>
            <w14:solidFill>
              <w14:schemeClr w14:val="tx1"/>
            </w14:solidFill>
          </w14:textFill>
        </w:rPr>
      </w:pPr>
    </w:p>
    <w:bookmarkEnd w:id="197"/>
    <w:p w14:paraId="5F0100E6">
      <w:pPr>
        <w:widowControl/>
        <w:spacing w:line="360" w:lineRule="auto"/>
        <w:jc w:val="left"/>
        <w:rPr>
          <w:rFonts w:cs="Arial" w:asciiTheme="minorEastAsia" w:hAnsiTheme="minorEastAsia" w:eastAsiaTheme="minorEastAsia"/>
          <w:snapToGrid w:val="0"/>
          <w:szCs w:val="21"/>
        </w:rPr>
        <w:sectPr>
          <w:pgSz w:w="11906" w:h="16838"/>
          <w:pgMar w:top="1304" w:right="1304" w:bottom="1304" w:left="1304" w:header="680" w:footer="850" w:gutter="0"/>
          <w:pgNumType w:fmt="decimal"/>
          <w:cols w:space="0" w:num="1"/>
          <w:docGrid w:linePitch="0" w:charSpace="0"/>
        </w:sectPr>
      </w:pPr>
    </w:p>
    <w:p w14:paraId="525E34B8">
      <w:pPr>
        <w:pStyle w:val="4"/>
        <w:pageBreakBefore w:val="0"/>
        <w:kinsoku/>
        <w:wordWrap/>
        <w:overflowPunct/>
        <w:topLinePunct w:val="0"/>
        <w:bidi w:val="0"/>
        <w:spacing w:before="0" w:after="0" w:line="300" w:lineRule="auto"/>
        <w:jc w:val="center"/>
        <w:textAlignment w:val="auto"/>
        <w:rPr>
          <w:rFonts w:hint="eastAsia" w:ascii="宋体" w:hAnsi="宋体" w:eastAsia="宋体" w:cs="Times New Roman"/>
          <w:color w:val="000000"/>
          <w:lang w:val="en-US" w:eastAsia="zh-CN"/>
        </w:rPr>
      </w:pPr>
      <w:bookmarkStart w:id="271" w:name="_Toc18642"/>
      <w:bookmarkStart w:id="272" w:name="_Toc722"/>
      <w:r>
        <w:rPr>
          <w:rFonts w:hint="eastAsia" w:ascii="宋体" w:hAnsi="宋体" w:eastAsia="宋体" w:cs="Times New Roman"/>
          <w:color w:val="000000"/>
          <w:lang w:val="en-US" w:eastAsia="zh-CN"/>
        </w:rPr>
        <w:t>九、监理大纲</w:t>
      </w:r>
      <w:bookmarkEnd w:id="271"/>
      <w:bookmarkEnd w:id="272"/>
    </w:p>
    <w:p w14:paraId="5A19DB93">
      <w:pPr>
        <w:pStyle w:val="4"/>
        <w:pageBreakBefore w:val="0"/>
        <w:kinsoku/>
        <w:wordWrap/>
        <w:overflowPunct/>
        <w:topLinePunct w:val="0"/>
        <w:bidi w:val="0"/>
        <w:spacing w:before="0" w:after="0" w:line="300" w:lineRule="auto"/>
        <w:jc w:val="center"/>
        <w:textAlignment w:val="auto"/>
        <w:rPr>
          <w:rFonts w:hint="eastAsia" w:ascii="宋体" w:hAnsi="宋体" w:eastAsia="宋体" w:cs="Times New Roman"/>
          <w:color w:val="000000"/>
          <w:lang w:val="en-US" w:eastAsia="zh-CN"/>
        </w:rPr>
        <w:sectPr>
          <w:pgSz w:w="11906" w:h="16838"/>
          <w:pgMar w:top="1304" w:right="1304" w:bottom="1304" w:left="1304" w:header="680" w:footer="850" w:gutter="0"/>
          <w:pgNumType w:fmt="decimal"/>
          <w:cols w:space="0" w:num="1"/>
          <w:docGrid w:linePitch="0" w:charSpace="0"/>
        </w:sectPr>
      </w:pPr>
    </w:p>
    <w:p w14:paraId="28063C90">
      <w:pPr>
        <w:pStyle w:val="4"/>
        <w:pageBreakBefore w:val="0"/>
        <w:kinsoku/>
        <w:wordWrap/>
        <w:overflowPunct/>
        <w:topLinePunct w:val="0"/>
        <w:bidi w:val="0"/>
        <w:spacing w:before="0" w:after="0" w:line="300" w:lineRule="auto"/>
        <w:jc w:val="center"/>
        <w:textAlignment w:val="auto"/>
        <w:rPr>
          <w:rFonts w:hint="eastAsia" w:ascii="宋体" w:hAnsi="宋体" w:eastAsia="宋体" w:cs="Times New Roman"/>
          <w:color w:val="000000"/>
          <w:lang w:val="en-US" w:eastAsia="zh-CN"/>
        </w:rPr>
      </w:pPr>
      <w:bookmarkStart w:id="273" w:name="_Toc11594"/>
      <w:bookmarkStart w:id="274" w:name="_Toc18639"/>
      <w:r>
        <w:rPr>
          <w:rFonts w:hint="eastAsia" w:ascii="宋体" w:hAnsi="宋体" w:eastAsia="宋体" w:cs="Times New Roman"/>
          <w:color w:val="000000"/>
          <w:lang w:val="en-US" w:eastAsia="zh-CN"/>
        </w:rPr>
        <w:t>十、项目管理机构</w:t>
      </w:r>
      <w:bookmarkEnd w:id="273"/>
      <w:bookmarkEnd w:id="274"/>
    </w:p>
    <w:p w14:paraId="2E31A6F8">
      <w:pPr>
        <w:widowControl/>
        <w:spacing w:line="360" w:lineRule="auto"/>
        <w:jc w:val="left"/>
        <w:rPr>
          <w:rFonts w:cs="Arial" w:asciiTheme="minorEastAsia" w:hAnsiTheme="minorEastAsia" w:eastAsiaTheme="minorEastAsia"/>
          <w:snapToGrid w:val="0"/>
          <w:szCs w:val="21"/>
        </w:rPr>
        <w:sectPr>
          <w:pgSz w:w="11906" w:h="16838"/>
          <w:pgMar w:top="1304" w:right="1304" w:bottom="1304" w:left="1304" w:header="680" w:footer="850" w:gutter="0"/>
          <w:pgNumType w:fmt="decimal"/>
          <w:cols w:space="0" w:num="1"/>
          <w:docGrid w:linePitch="0" w:charSpace="0"/>
        </w:sectPr>
      </w:pPr>
    </w:p>
    <w:p w14:paraId="7AE69A5E">
      <w:pPr>
        <w:pStyle w:val="2"/>
        <w:spacing w:before="0" w:after="0" w:line="360" w:lineRule="auto"/>
        <w:jc w:val="center"/>
        <w:rPr>
          <w:rFonts w:ascii="宋体" w:hAnsi="宋体"/>
          <w:sz w:val="36"/>
          <w:szCs w:val="36"/>
        </w:rPr>
      </w:pPr>
      <w:bookmarkStart w:id="275" w:name="_Toc83196653"/>
      <w:bookmarkStart w:id="276" w:name="_Toc106690296"/>
      <w:bookmarkStart w:id="277" w:name="_Toc3291"/>
      <w:bookmarkStart w:id="278" w:name="_Toc22378"/>
      <w:bookmarkStart w:id="279" w:name="_Toc15648"/>
      <w:bookmarkStart w:id="280" w:name="_Toc10266"/>
      <w:bookmarkStart w:id="281" w:name="_Toc421807510"/>
      <w:bookmarkStart w:id="282" w:name="_Toc24958"/>
      <w:bookmarkStart w:id="283" w:name="_Toc3183"/>
      <w:bookmarkStart w:id="284" w:name="_Toc9093"/>
      <w:bookmarkStart w:id="285" w:name="_Toc32542"/>
      <w:bookmarkStart w:id="286" w:name="_Toc30604"/>
      <w:bookmarkStart w:id="287" w:name="_Toc329009938"/>
      <w:bookmarkStart w:id="288" w:name="_Toc370821647"/>
      <w:bookmarkStart w:id="289" w:name="_Toc24923"/>
      <w:bookmarkStart w:id="290" w:name="_Toc329348517"/>
      <w:bookmarkStart w:id="291" w:name="_Toc17763"/>
      <w:bookmarkStart w:id="292" w:name="_Toc20058"/>
      <w:bookmarkStart w:id="293" w:name="_Toc25100"/>
      <w:bookmarkStart w:id="294" w:name="_Toc27376"/>
      <w:bookmarkStart w:id="295" w:name="_Toc12800"/>
      <w:bookmarkStart w:id="296" w:name="_Toc24694"/>
      <w:r>
        <w:rPr>
          <w:rFonts w:hint="eastAsia" w:ascii="宋体" w:hAnsi="宋体"/>
          <w:sz w:val="36"/>
          <w:szCs w:val="36"/>
        </w:rPr>
        <w:t xml:space="preserve">第二部分    </w:t>
      </w:r>
      <w:bookmarkStart w:id="297" w:name="_Hlt83197466"/>
      <w:bookmarkEnd w:id="297"/>
      <w:r>
        <w:rPr>
          <w:rFonts w:hint="eastAsia" w:ascii="宋体" w:hAnsi="宋体"/>
          <w:sz w:val="36"/>
          <w:szCs w:val="36"/>
        </w:rPr>
        <w:t>合同条</w:t>
      </w:r>
      <w:bookmarkEnd w:id="275"/>
      <w:bookmarkEnd w:id="276"/>
      <w:r>
        <w:rPr>
          <w:rFonts w:hint="eastAsia" w:ascii="宋体" w:hAnsi="宋体"/>
          <w:sz w:val="36"/>
          <w:szCs w:val="36"/>
        </w:rPr>
        <w:t>件</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14:paraId="6A6D2429">
      <w:pPr>
        <w:spacing w:after="240"/>
        <w:rPr>
          <w:rFonts w:ascii="宋体" w:hAnsi="宋体"/>
          <w:b/>
          <w:snapToGrid w:val="0"/>
          <w:color w:val="000000" w:themeColor="text1"/>
          <w:sz w:val="28"/>
          <w:szCs w:val="28"/>
          <w:u w:val="single"/>
          <w14:textFill>
            <w14:solidFill>
              <w14:schemeClr w14:val="tx1"/>
            </w14:solidFill>
          </w14:textFill>
        </w:rPr>
      </w:pPr>
      <w:r>
        <w:rPr>
          <w:rFonts w:hint="eastAsia" w:ascii="宋体" w:hAnsi="宋体"/>
          <w:b/>
          <w:snapToGrid w:val="0"/>
          <w:color w:val="000000" w:themeColor="text1"/>
          <w:sz w:val="28"/>
          <w:szCs w:val="28"/>
          <w14:textFill>
            <w14:solidFill>
              <w14:schemeClr w14:val="tx1"/>
            </w14:solidFill>
          </w14:textFill>
        </w:rPr>
        <w:t>合同编号</w:t>
      </w:r>
      <w:r>
        <w:rPr>
          <w:rFonts w:hint="eastAsia" w:ascii="宋体" w:hAnsi="宋体"/>
          <w:b/>
          <w:snapToGrid w:val="0"/>
          <w:color w:val="000000" w:themeColor="text1"/>
          <w:sz w:val="28"/>
          <w:szCs w:val="28"/>
          <w:u w:val="none"/>
          <w14:textFill>
            <w14:solidFill>
              <w14:schemeClr w14:val="tx1"/>
            </w14:solidFill>
          </w14:textFill>
        </w:rPr>
        <w:t>：</w:t>
      </w:r>
      <w:r>
        <w:rPr>
          <w:rFonts w:hint="eastAsia" w:ascii="宋体" w:hAnsi="宋体"/>
          <w:b/>
          <w:snapToGrid w:val="0"/>
          <w:color w:val="000000" w:themeColor="text1"/>
          <w:sz w:val="28"/>
          <w:szCs w:val="28"/>
          <w:u w:val="single"/>
          <w:lang w:val="en-US" w:eastAsia="zh-CN"/>
          <w14:textFill>
            <w14:solidFill>
              <w14:schemeClr w14:val="tx1"/>
            </w14:solidFill>
          </w14:textFill>
        </w:rPr>
        <w:t xml:space="preserve">      </w:t>
      </w:r>
      <w:r>
        <w:rPr>
          <w:rFonts w:hint="eastAsia" w:ascii="宋体" w:hAnsi="宋体" w:cs="Times New Roman"/>
          <w:b/>
          <w:snapToGrid w:val="0"/>
          <w:color w:val="auto"/>
          <w:sz w:val="28"/>
          <w:szCs w:val="28"/>
          <w:highlight w:val="none"/>
          <w:u w:val="single"/>
          <w:lang w:val="en-US" w:eastAsia="zh-CN"/>
        </w:rPr>
        <w:t xml:space="preserve"> </w:t>
      </w:r>
      <w:r>
        <w:rPr>
          <w:rFonts w:hint="eastAsia" w:ascii="宋体" w:hAnsi="宋体"/>
          <w:b/>
          <w:snapToGrid w:val="0"/>
          <w:color w:val="auto"/>
          <w:sz w:val="28"/>
          <w:szCs w:val="28"/>
          <w:highlight w:val="none"/>
          <w:u w:val="single"/>
          <w:lang w:val="en-US" w:eastAsia="zh-CN"/>
        </w:rPr>
        <w:t xml:space="preserve"> </w:t>
      </w:r>
      <w:r>
        <w:rPr>
          <w:rFonts w:hint="eastAsia" w:ascii="宋体" w:hAnsi="宋体"/>
          <w:b/>
          <w:snapToGrid w:val="0"/>
          <w:color w:val="000000" w:themeColor="text1"/>
          <w:sz w:val="28"/>
          <w:szCs w:val="28"/>
          <w:u w:val="single"/>
          <w14:textFill>
            <w14:solidFill>
              <w14:schemeClr w14:val="tx1"/>
            </w14:solidFill>
          </w14:textFill>
        </w:rPr>
        <w:t xml:space="preserve"> </w:t>
      </w:r>
    </w:p>
    <w:p w14:paraId="470890C3">
      <w:pPr>
        <w:tabs>
          <w:tab w:val="left" w:pos="3978"/>
        </w:tabs>
        <w:spacing w:after="240"/>
        <w:rPr>
          <w:rFonts w:ascii="宋体" w:hAnsi="宋体"/>
          <w:b/>
          <w:snapToGrid w:val="0"/>
          <w:color w:val="000000" w:themeColor="text1"/>
          <w:sz w:val="28"/>
          <w:szCs w:val="28"/>
          <w14:textFill>
            <w14:solidFill>
              <w14:schemeClr w14:val="tx1"/>
            </w14:solidFill>
          </w14:textFill>
        </w:rPr>
      </w:pPr>
      <w:r>
        <w:rPr>
          <w:rFonts w:hint="eastAsia" w:ascii="宋体" w:hAnsi="宋体"/>
          <w:b/>
          <w:snapToGrid w:val="0"/>
          <w:color w:val="000000" w:themeColor="text1"/>
          <w:sz w:val="28"/>
          <w:szCs w:val="28"/>
          <w14:textFill>
            <w14:solidFill>
              <w14:schemeClr w14:val="tx1"/>
            </w14:solidFill>
          </w14:textFill>
        </w:rPr>
        <w:t>合同名称：</w:t>
      </w:r>
      <w:r>
        <w:rPr>
          <w:rFonts w:hint="eastAsia" w:ascii="宋体" w:hAnsi="宋体"/>
          <w:b/>
          <w:snapToGrid w:val="0"/>
          <w:color w:val="000000" w:themeColor="text1"/>
          <w:sz w:val="28"/>
          <w:szCs w:val="28"/>
          <w:u w:val="single"/>
          <w:lang w:eastAsia="zh-CN"/>
          <w14:textFill>
            <w14:solidFill>
              <w14:schemeClr w14:val="tx1"/>
            </w14:solidFill>
          </w14:textFill>
        </w:rPr>
        <w:t>监理咨询服务</w:t>
      </w:r>
    </w:p>
    <w:p w14:paraId="09D600CA">
      <w:pPr>
        <w:jc w:val="center"/>
        <w:textAlignment w:val="baseline"/>
        <w:rPr>
          <w:rFonts w:ascii="宋体" w:hAnsi="宋体"/>
          <w:b/>
          <w:snapToGrid w:val="0"/>
          <w:color w:val="000000" w:themeColor="text1"/>
          <w:sz w:val="32"/>
          <w:szCs w:val="32"/>
          <w14:textFill>
            <w14:solidFill>
              <w14:schemeClr w14:val="tx1"/>
            </w14:solidFill>
          </w14:textFill>
        </w:rPr>
      </w:pPr>
    </w:p>
    <w:p w14:paraId="20FDB9DB">
      <w:pPr>
        <w:jc w:val="center"/>
        <w:textAlignment w:val="baseline"/>
        <w:rPr>
          <w:rFonts w:ascii="宋体" w:hAnsi="宋体"/>
          <w:b/>
          <w:snapToGrid w:val="0"/>
          <w:color w:val="000000" w:themeColor="text1"/>
          <w:sz w:val="32"/>
          <w:szCs w:val="32"/>
          <w14:textFill>
            <w14:solidFill>
              <w14:schemeClr w14:val="tx1"/>
            </w14:solidFill>
          </w14:textFill>
        </w:rPr>
      </w:pPr>
    </w:p>
    <w:p w14:paraId="0612BBC3">
      <w:pPr>
        <w:jc w:val="center"/>
        <w:textAlignment w:val="baseline"/>
        <w:rPr>
          <w:rFonts w:ascii="宋体" w:hAnsi="宋体"/>
          <w:b/>
          <w:snapToGrid w:val="0"/>
          <w:color w:val="000000" w:themeColor="text1"/>
          <w:sz w:val="32"/>
          <w:szCs w:val="32"/>
          <w14:textFill>
            <w14:solidFill>
              <w14:schemeClr w14:val="tx1"/>
            </w14:solidFill>
          </w14:textFill>
        </w:rPr>
      </w:pPr>
    </w:p>
    <w:p w14:paraId="1B033B11">
      <w:pPr>
        <w:jc w:val="center"/>
        <w:textAlignment w:val="baseline"/>
        <w:rPr>
          <w:rFonts w:ascii="宋体" w:hAnsi="宋体"/>
          <w:b/>
          <w:snapToGrid w:val="0"/>
          <w:color w:val="000000" w:themeColor="text1"/>
          <w:sz w:val="32"/>
          <w:szCs w:val="32"/>
          <w14:textFill>
            <w14:solidFill>
              <w14:schemeClr w14:val="tx1"/>
            </w14:solidFill>
          </w14:textFill>
        </w:rPr>
      </w:pPr>
    </w:p>
    <w:p w14:paraId="09D79454">
      <w:pPr>
        <w:jc w:val="center"/>
        <w:textAlignment w:val="baseline"/>
        <w:rPr>
          <w:rFonts w:ascii="宋体" w:hAnsi="宋体"/>
          <w:b/>
          <w:snapToGrid w:val="0"/>
          <w:color w:val="000000" w:themeColor="text1"/>
          <w:sz w:val="32"/>
          <w:szCs w:val="32"/>
          <w14:textFill>
            <w14:solidFill>
              <w14:schemeClr w14:val="tx1"/>
            </w14:solidFill>
          </w14:textFill>
        </w:rPr>
      </w:pPr>
    </w:p>
    <w:p w14:paraId="186AB4C0">
      <w:pPr>
        <w:jc w:val="center"/>
        <w:textAlignment w:val="baseline"/>
        <w:rPr>
          <w:rFonts w:ascii="宋体" w:hAnsi="宋体"/>
          <w:b/>
          <w:snapToGrid w:val="0"/>
          <w:color w:val="000000" w:themeColor="text1"/>
          <w:sz w:val="32"/>
          <w:szCs w:val="32"/>
          <w14:textFill>
            <w14:solidFill>
              <w14:schemeClr w14:val="tx1"/>
            </w14:solidFill>
          </w14:textFill>
        </w:rPr>
      </w:pPr>
    </w:p>
    <w:p w14:paraId="29B4DCE7">
      <w:pPr>
        <w:jc w:val="center"/>
        <w:textAlignment w:val="baseline"/>
        <w:rPr>
          <w:rFonts w:ascii="宋体" w:hAnsi="宋体"/>
          <w:b/>
          <w:snapToGrid w:val="0"/>
          <w:color w:val="000000" w:themeColor="text1"/>
          <w:sz w:val="32"/>
          <w:szCs w:val="32"/>
          <w14:textFill>
            <w14:solidFill>
              <w14:schemeClr w14:val="tx1"/>
            </w14:solidFill>
          </w14:textFill>
        </w:rPr>
      </w:pPr>
    </w:p>
    <w:p w14:paraId="29866E16">
      <w:pPr>
        <w:jc w:val="center"/>
        <w:textAlignment w:val="baseline"/>
        <w:rPr>
          <w:rFonts w:ascii="宋体" w:hAnsi="宋体"/>
          <w:b/>
          <w:snapToGrid w:val="0"/>
          <w:color w:val="000000" w:themeColor="text1"/>
          <w:sz w:val="32"/>
          <w:szCs w:val="32"/>
          <w14:textFill>
            <w14:solidFill>
              <w14:schemeClr w14:val="tx1"/>
            </w14:solidFill>
          </w14:textFill>
        </w:rPr>
      </w:pPr>
    </w:p>
    <w:p w14:paraId="349CD54D">
      <w:pPr>
        <w:jc w:val="right"/>
        <w:textAlignment w:val="baseline"/>
        <w:rPr>
          <w:rFonts w:ascii="宋体" w:hAnsi="宋体"/>
          <w:b/>
          <w:snapToGrid w:val="0"/>
          <w:color w:val="000000" w:themeColor="text1"/>
          <w:sz w:val="32"/>
          <w:szCs w:val="32"/>
          <w14:textFill>
            <w14:solidFill>
              <w14:schemeClr w14:val="tx1"/>
            </w14:solidFill>
          </w14:textFill>
        </w:rPr>
      </w:pPr>
    </w:p>
    <w:p w14:paraId="52E9A427">
      <w:pPr>
        <w:spacing w:after="240"/>
        <w:ind w:left="283" w:leftChars="135"/>
        <w:jc w:val="center"/>
        <w:rPr>
          <w:rFonts w:hint="eastAsia" w:ascii="宋体" w:hAnsi="宋体" w:eastAsia="宋体" w:cs="Times New Roman"/>
          <w:b/>
          <w:snapToGrid w:val="0"/>
          <w:color w:val="000000" w:themeColor="text1"/>
          <w:sz w:val="60"/>
          <w:szCs w:val="60"/>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宋体" w:hAnsi="宋体" w:eastAsia="宋体" w:cs="Times New Roman"/>
          <w:b/>
          <w:snapToGrid w:val="0"/>
          <w:color w:val="000000" w:themeColor="text1"/>
          <w:sz w:val="60"/>
          <w:szCs w:val="60"/>
          <w14:shadow w14:blurRad="50800" w14:dist="38100" w14:dir="2700000" w14:sx="100000" w14:sy="100000" w14:kx="0" w14:ky="0" w14:algn="tl">
            <w14:srgbClr w14:val="000000">
              <w14:alpha w14:val="60000"/>
            </w14:srgbClr>
          </w14:shadow>
          <w14:textFill>
            <w14:solidFill>
              <w14:schemeClr w14:val="tx1"/>
            </w14:solidFill>
          </w14:textFill>
        </w:rPr>
        <w:t>重庆海联职业技术学院</w:t>
      </w:r>
    </w:p>
    <w:p w14:paraId="124558F6">
      <w:pPr>
        <w:spacing w:after="240"/>
        <w:ind w:left="283" w:leftChars="135"/>
        <w:jc w:val="center"/>
        <w:rPr>
          <w:rFonts w:hint="eastAsia" w:ascii="宋体" w:hAnsi="宋体" w:eastAsia="宋体" w:cs="Times New Roman"/>
          <w:b/>
          <w:snapToGrid w:val="0"/>
          <w:color w:val="000000" w:themeColor="text1"/>
          <w:sz w:val="60"/>
          <w:szCs w:val="60"/>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宋体" w:hAnsi="宋体" w:eastAsia="宋体" w:cs="Times New Roman"/>
          <w:b/>
          <w:snapToGrid w:val="0"/>
          <w:color w:val="000000" w:themeColor="text1"/>
          <w:sz w:val="60"/>
          <w:szCs w:val="60"/>
          <w14:shadow w14:blurRad="50800" w14:dist="38100" w14:dir="2700000" w14:sx="100000" w14:sy="100000" w14:kx="0" w14:ky="0" w14:algn="tl">
            <w14:srgbClr w14:val="000000">
              <w14:alpha w14:val="60000"/>
            </w14:srgbClr>
          </w14:shadow>
          <w14:textFill>
            <w14:solidFill>
              <w14:schemeClr w14:val="tx1"/>
            </w14:solidFill>
          </w14:textFill>
        </w:rPr>
        <w:t>两江校区项目</w:t>
      </w:r>
    </w:p>
    <w:p w14:paraId="403385E1">
      <w:pPr>
        <w:spacing w:after="240"/>
        <w:ind w:left="283" w:leftChars="135"/>
        <w:jc w:val="center"/>
        <w:rPr>
          <w:rFonts w:hint="default" w:ascii="宋体" w:hAnsi="宋体" w:eastAsia="宋体" w:cs="Times New Roman"/>
          <w:b/>
          <w:snapToGrid w:val="0"/>
          <w:color w:val="000000" w:themeColor="text1"/>
          <w:sz w:val="60"/>
          <w:szCs w:val="60"/>
          <w:lang w:val="en-US"/>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宋体" w:hAnsi="宋体" w:cs="Times New Roman"/>
          <w:b/>
          <w:snapToGrid w:val="0"/>
          <w:color w:val="000000" w:themeColor="text1"/>
          <w:sz w:val="60"/>
          <w:szCs w:val="60"/>
          <w:lang w:eastAsia="zh-CN"/>
          <w14:shadow w14:blurRad="50800" w14:dist="38100" w14:dir="2700000" w14:sx="100000" w14:sy="100000" w14:kx="0" w14:ky="0" w14:algn="tl">
            <w14:srgbClr w14:val="000000">
              <w14:alpha w14:val="60000"/>
            </w14:srgbClr>
          </w14:shadow>
          <w14:textFill>
            <w14:solidFill>
              <w14:schemeClr w14:val="tx1"/>
            </w14:solidFill>
          </w14:textFill>
        </w:rPr>
        <w:t>监理咨询服务</w:t>
      </w:r>
      <w:r>
        <w:rPr>
          <w:rFonts w:hint="eastAsia" w:ascii="宋体" w:hAnsi="宋体" w:eastAsia="宋体" w:cs="Times New Roman"/>
          <w:b/>
          <w:snapToGrid w:val="0"/>
          <w:color w:val="000000" w:themeColor="text1"/>
          <w:sz w:val="60"/>
          <w:szCs w:val="60"/>
          <w:lang w:val="en-US" w:eastAsia="zh-CN"/>
          <w14:shadow w14:blurRad="50800" w14:dist="38100" w14:dir="2700000" w14:sx="100000" w14:sy="100000" w14:kx="0" w14:ky="0" w14:algn="tl">
            <w14:srgbClr w14:val="000000">
              <w14:alpha w14:val="60000"/>
            </w14:srgbClr>
          </w14:shadow>
          <w14:textFill>
            <w14:solidFill>
              <w14:schemeClr w14:val="tx1"/>
            </w14:solidFill>
          </w14:textFill>
        </w:rPr>
        <w:t>合同</w:t>
      </w:r>
    </w:p>
    <w:p w14:paraId="65B42C45">
      <w:pPr>
        <w:jc w:val="center"/>
        <w:textAlignment w:val="baseline"/>
        <w:rPr>
          <w:rFonts w:ascii="宋体" w:hAnsi="宋体"/>
          <w:b/>
          <w:snapToGrid w:val="0"/>
          <w:color w:val="000000" w:themeColor="text1"/>
          <w:sz w:val="56"/>
          <w:szCs w:val="56"/>
          <w14:textFill>
            <w14:solidFill>
              <w14:schemeClr w14:val="tx1"/>
            </w14:solidFill>
          </w14:textFill>
        </w:rPr>
      </w:pPr>
    </w:p>
    <w:p w14:paraId="7BEFEADA">
      <w:pPr>
        <w:jc w:val="center"/>
        <w:textAlignment w:val="baseline"/>
        <w:rPr>
          <w:rFonts w:ascii="宋体" w:hAnsi="宋体"/>
          <w:b/>
          <w:snapToGrid w:val="0"/>
          <w:color w:val="000000" w:themeColor="text1"/>
          <w:sz w:val="28"/>
          <w:szCs w:val="28"/>
          <w14:textFill>
            <w14:solidFill>
              <w14:schemeClr w14:val="tx1"/>
            </w14:solidFill>
          </w14:textFill>
        </w:rPr>
      </w:pPr>
    </w:p>
    <w:p w14:paraId="05AA07CC">
      <w:pPr>
        <w:jc w:val="center"/>
        <w:textAlignment w:val="baseline"/>
        <w:rPr>
          <w:rFonts w:ascii="宋体" w:hAnsi="宋体"/>
          <w:b/>
          <w:snapToGrid w:val="0"/>
          <w:color w:val="000000" w:themeColor="text1"/>
          <w:sz w:val="28"/>
          <w:szCs w:val="28"/>
          <w14:textFill>
            <w14:solidFill>
              <w14:schemeClr w14:val="tx1"/>
            </w14:solidFill>
          </w14:textFill>
        </w:rPr>
      </w:pPr>
    </w:p>
    <w:p w14:paraId="4787E2D0">
      <w:pPr>
        <w:jc w:val="center"/>
        <w:textAlignment w:val="baseline"/>
        <w:rPr>
          <w:rFonts w:ascii="宋体" w:hAnsi="宋体"/>
          <w:b/>
          <w:snapToGrid w:val="0"/>
          <w:color w:val="000000" w:themeColor="text1"/>
          <w:sz w:val="28"/>
          <w:szCs w:val="28"/>
          <w14:textFill>
            <w14:solidFill>
              <w14:schemeClr w14:val="tx1"/>
            </w14:solidFill>
          </w14:textFill>
        </w:rPr>
      </w:pPr>
    </w:p>
    <w:p w14:paraId="6CD47C56">
      <w:pPr>
        <w:jc w:val="center"/>
        <w:textAlignment w:val="baseline"/>
        <w:rPr>
          <w:rFonts w:ascii="宋体" w:hAnsi="宋体"/>
          <w:b/>
          <w:snapToGrid w:val="0"/>
          <w:color w:val="000000" w:themeColor="text1"/>
          <w:sz w:val="28"/>
          <w:szCs w:val="28"/>
          <w14:textFill>
            <w14:solidFill>
              <w14:schemeClr w14:val="tx1"/>
            </w14:solidFill>
          </w14:textFill>
        </w:rPr>
      </w:pPr>
    </w:p>
    <w:p w14:paraId="2BB02AE6">
      <w:pPr>
        <w:jc w:val="center"/>
        <w:textAlignment w:val="baseline"/>
        <w:rPr>
          <w:rFonts w:ascii="宋体" w:hAnsi="宋体"/>
          <w:b/>
          <w:snapToGrid w:val="0"/>
          <w:color w:val="000000" w:themeColor="text1"/>
          <w:sz w:val="28"/>
          <w:szCs w:val="28"/>
          <w14:textFill>
            <w14:solidFill>
              <w14:schemeClr w14:val="tx1"/>
            </w14:solidFill>
          </w14:textFill>
        </w:rPr>
      </w:pPr>
    </w:p>
    <w:p w14:paraId="44A44235">
      <w:pPr>
        <w:jc w:val="center"/>
        <w:textAlignment w:val="baseline"/>
        <w:rPr>
          <w:rFonts w:ascii="宋体" w:hAnsi="宋体"/>
          <w:b/>
          <w:snapToGrid w:val="0"/>
          <w:color w:val="000000" w:themeColor="text1"/>
          <w:sz w:val="28"/>
          <w:szCs w:val="28"/>
          <w14:textFill>
            <w14:solidFill>
              <w14:schemeClr w14:val="tx1"/>
            </w14:solidFill>
          </w14:textFill>
        </w:rPr>
      </w:pPr>
    </w:p>
    <w:p w14:paraId="21EA8FDD">
      <w:pPr>
        <w:jc w:val="center"/>
        <w:textAlignment w:val="baseline"/>
        <w:rPr>
          <w:rFonts w:ascii="宋体" w:hAnsi="宋体"/>
          <w:b/>
          <w:snapToGrid w:val="0"/>
          <w:color w:val="000000" w:themeColor="text1"/>
          <w:sz w:val="28"/>
          <w:szCs w:val="28"/>
          <w14:textFill>
            <w14:solidFill>
              <w14:schemeClr w14:val="tx1"/>
            </w14:solidFill>
          </w14:textFill>
        </w:rPr>
      </w:pPr>
    </w:p>
    <w:p w14:paraId="687F2A13">
      <w:pPr>
        <w:jc w:val="center"/>
        <w:textAlignment w:val="baseline"/>
        <w:rPr>
          <w:rFonts w:ascii="宋体" w:hAnsi="宋体"/>
          <w:b/>
          <w:snapToGrid w:val="0"/>
          <w:color w:val="000000" w:themeColor="text1"/>
          <w:sz w:val="28"/>
          <w:szCs w:val="28"/>
          <w14:textFill>
            <w14:solidFill>
              <w14:schemeClr w14:val="tx1"/>
            </w14:solidFill>
          </w14:textFill>
        </w:rPr>
      </w:pPr>
    </w:p>
    <w:p w14:paraId="1206F4CC">
      <w:pPr>
        <w:jc w:val="center"/>
        <w:textAlignment w:val="baseline"/>
        <w:rPr>
          <w:rFonts w:ascii="宋体" w:hAnsi="宋体"/>
          <w:b/>
          <w:snapToGrid w:val="0"/>
          <w:color w:val="000000" w:themeColor="text1"/>
          <w:sz w:val="28"/>
          <w:szCs w:val="28"/>
          <w14:textFill>
            <w14:solidFill>
              <w14:schemeClr w14:val="tx1"/>
            </w14:solidFill>
          </w14:textFill>
        </w:rPr>
      </w:pPr>
    </w:p>
    <w:p w14:paraId="1D23257E">
      <w:pPr>
        <w:jc w:val="center"/>
        <w:textAlignment w:val="baseline"/>
        <w:rPr>
          <w:rFonts w:ascii="宋体" w:hAnsi="宋体"/>
          <w:b/>
          <w:snapToGrid w:val="0"/>
          <w:color w:val="000000" w:themeColor="text1"/>
          <w:sz w:val="28"/>
          <w:szCs w:val="28"/>
          <w14:textFill>
            <w14:solidFill>
              <w14:schemeClr w14:val="tx1"/>
            </w14:solidFill>
          </w14:textFill>
        </w:rPr>
      </w:pPr>
    </w:p>
    <w:p w14:paraId="6FA786E5">
      <w:pPr>
        <w:spacing w:line="360" w:lineRule="auto"/>
        <w:ind w:firstLine="0" w:firstLineChars="0"/>
        <w:jc w:val="center"/>
        <w:rPr>
          <w:rFonts w:ascii="宋体" w:hAnsi="宋体" w:eastAsia="宋体" w:cs="Times New Roman"/>
          <w:sz w:val="28"/>
          <w:szCs w:val="28"/>
          <w:highlight w:val="none"/>
        </w:rPr>
      </w:pPr>
      <w:r>
        <w:rPr>
          <w:rFonts w:hint="eastAsia" w:ascii="宋体" w:hAnsi="宋体" w:eastAsia="宋体" w:cs="Times New Roman"/>
          <w:sz w:val="28"/>
          <w:szCs w:val="28"/>
          <w:highlight w:val="none"/>
        </w:rPr>
        <w:t>签约地点：</w:t>
      </w:r>
      <w:r>
        <w:rPr>
          <w:rFonts w:hint="eastAsia" w:ascii="宋体" w:hAnsi="宋体" w:eastAsia="宋体" w:cs="Times New Roman"/>
          <w:sz w:val="28"/>
          <w:szCs w:val="28"/>
          <w:highlight w:val="none"/>
          <w:lang w:val="en-US" w:eastAsia="zh-CN"/>
        </w:rPr>
        <w:t>重庆市渝北区龙兴镇</w:t>
      </w:r>
      <w:r>
        <w:rPr>
          <w:rFonts w:hint="eastAsia" w:ascii="宋体" w:hAnsi="宋体" w:eastAsia="宋体" w:cs="Times New Roman"/>
          <w:sz w:val="28"/>
          <w:szCs w:val="28"/>
          <w:highlight w:val="none"/>
        </w:rPr>
        <w:t xml:space="preserve"> </w:t>
      </w:r>
    </w:p>
    <w:p w14:paraId="22DF754B">
      <w:pPr>
        <w:spacing w:line="360" w:lineRule="auto"/>
        <w:ind w:firstLine="0" w:firstLineChars="0"/>
        <w:jc w:val="center"/>
        <w:rPr>
          <w:rFonts w:ascii="宋体" w:hAnsi="宋体" w:eastAsia="宋体" w:cs="Times New Roman"/>
          <w:sz w:val="28"/>
          <w:szCs w:val="28"/>
          <w:highlight w:val="none"/>
        </w:rPr>
      </w:pPr>
      <w:r>
        <w:rPr>
          <w:rFonts w:hint="eastAsia" w:ascii="宋体" w:hAnsi="宋体" w:eastAsia="宋体" w:cs="Times New Roman"/>
          <w:sz w:val="28"/>
          <w:szCs w:val="28"/>
          <w:highlight w:val="none"/>
        </w:rPr>
        <w:t>签订时间：</w:t>
      </w:r>
      <w:r>
        <w:rPr>
          <w:rFonts w:hint="eastAsia" w:ascii="宋体" w:hAnsi="宋体" w:eastAsia="宋体" w:cs="Times New Roman"/>
          <w:sz w:val="28"/>
          <w:szCs w:val="28"/>
          <w:highlight w:val="none"/>
          <w:lang w:val="en-US" w:eastAsia="zh-CN"/>
        </w:rPr>
        <w:t>2024</w:t>
      </w:r>
      <w:r>
        <w:rPr>
          <w:rFonts w:hint="eastAsia" w:ascii="宋体" w:hAnsi="宋体" w:eastAsia="宋体" w:cs="Times New Roman"/>
          <w:sz w:val="28"/>
          <w:szCs w:val="28"/>
          <w:highlight w:val="none"/>
        </w:rPr>
        <w:t>年</w:t>
      </w:r>
      <w:r>
        <w:rPr>
          <w:rFonts w:hint="eastAsia" w:ascii="宋体" w:hAnsi="宋体" w:eastAsia="宋体" w:cs="Times New Roman"/>
          <w:sz w:val="28"/>
          <w:szCs w:val="28"/>
          <w:highlight w:val="none"/>
          <w:lang w:val="en-US" w:eastAsia="zh-CN"/>
        </w:rPr>
        <w:t>1</w:t>
      </w:r>
      <w:r>
        <w:rPr>
          <w:rFonts w:hint="eastAsia" w:ascii="宋体" w:hAnsi="宋体" w:cs="Times New Roman"/>
          <w:sz w:val="28"/>
          <w:szCs w:val="28"/>
          <w:highlight w:val="none"/>
          <w:lang w:val="en-US" w:eastAsia="zh-CN"/>
        </w:rPr>
        <w:t>1</w:t>
      </w:r>
      <w:r>
        <w:rPr>
          <w:rFonts w:hint="eastAsia" w:ascii="宋体" w:hAnsi="宋体" w:eastAsia="宋体" w:cs="Times New Roman"/>
          <w:sz w:val="28"/>
          <w:szCs w:val="28"/>
          <w:highlight w:val="none"/>
        </w:rPr>
        <w:t>月</w:t>
      </w:r>
      <w:r>
        <w:rPr>
          <w:rFonts w:hint="eastAsia" w:ascii="宋体" w:hAnsi="宋体" w:cs="Times New Roman"/>
          <w:sz w:val="28"/>
          <w:szCs w:val="28"/>
          <w:highlight w:val="none"/>
          <w:lang w:val="en-US" w:eastAsia="zh-CN"/>
        </w:rPr>
        <w:t xml:space="preserve">  日</w:t>
      </w:r>
      <w:r>
        <w:rPr>
          <w:rFonts w:hint="eastAsia" w:ascii="宋体" w:hAnsi="宋体" w:eastAsia="宋体" w:cs="Times New Roman"/>
          <w:sz w:val="28"/>
          <w:szCs w:val="28"/>
          <w:highlight w:val="none"/>
        </w:rPr>
        <w:t xml:space="preserve">  </w:t>
      </w:r>
    </w:p>
    <w:p w14:paraId="5E1790E5">
      <w:pPr>
        <w:jc w:val="center"/>
        <w:rPr>
          <w:rFonts w:hint="eastAsia" w:ascii="宋体" w:hAnsi="宋体"/>
          <w:b/>
          <w:snapToGrid w:val="0"/>
          <w:color w:val="000000" w:themeColor="text1"/>
          <w:sz w:val="44"/>
          <w14:textFill>
            <w14:solidFill>
              <w14:schemeClr w14:val="tx1"/>
            </w14:solidFill>
          </w14:textFill>
        </w:rPr>
        <w:sectPr>
          <w:headerReference r:id="rId11" w:type="first"/>
          <w:footerReference r:id="rId13" w:type="first"/>
          <w:headerReference r:id="rId10" w:type="default"/>
          <w:footerReference r:id="rId12" w:type="default"/>
          <w:pgSz w:w="11906" w:h="16838"/>
          <w:pgMar w:top="1134" w:right="1134" w:bottom="1134" w:left="1418" w:header="851" w:footer="624" w:gutter="0"/>
          <w:pgNumType w:fmt="decimal"/>
          <w:cols w:space="425" w:num="1"/>
          <w:docGrid w:linePitch="312" w:charSpace="0"/>
        </w:sectPr>
      </w:pPr>
    </w:p>
    <w:p w14:paraId="21AA2D0C">
      <w:pPr>
        <w:jc w:val="center"/>
        <w:rPr>
          <w:rFonts w:ascii="宋体" w:hAnsi="宋体"/>
          <w:b/>
          <w:snapToGrid w:val="0"/>
          <w:color w:val="000000" w:themeColor="text1"/>
          <w:sz w:val="44"/>
          <w14:textFill>
            <w14:solidFill>
              <w14:schemeClr w14:val="tx1"/>
            </w14:solidFill>
          </w14:textFill>
        </w:rPr>
      </w:pPr>
      <w:r>
        <w:rPr>
          <w:rFonts w:hint="eastAsia" w:ascii="宋体" w:hAnsi="宋体"/>
          <w:b/>
          <w:snapToGrid w:val="0"/>
          <w:color w:val="000000" w:themeColor="text1"/>
          <w:sz w:val="44"/>
          <w14:textFill>
            <w14:solidFill>
              <w14:schemeClr w14:val="tx1"/>
            </w14:solidFill>
          </w14:textFill>
        </w:rPr>
        <w:t>目  录</w:t>
      </w:r>
    </w:p>
    <w:tbl>
      <w:tblPr>
        <w:tblStyle w:val="41"/>
        <w:tblW w:w="9314" w:type="dxa"/>
        <w:tblInd w:w="108" w:type="dxa"/>
        <w:tblLayout w:type="fixed"/>
        <w:tblCellMar>
          <w:top w:w="0" w:type="dxa"/>
          <w:left w:w="108" w:type="dxa"/>
          <w:bottom w:w="0" w:type="dxa"/>
          <w:right w:w="108" w:type="dxa"/>
        </w:tblCellMar>
      </w:tblPr>
      <w:tblGrid>
        <w:gridCol w:w="1653"/>
        <w:gridCol w:w="7661"/>
      </w:tblGrid>
      <w:tr w14:paraId="57F554B6">
        <w:tblPrEx>
          <w:tblCellMar>
            <w:top w:w="0" w:type="dxa"/>
            <w:left w:w="108" w:type="dxa"/>
            <w:bottom w:w="0" w:type="dxa"/>
            <w:right w:w="108" w:type="dxa"/>
          </w:tblCellMar>
        </w:tblPrEx>
        <w:trPr>
          <w:trHeight w:val="624" w:hRule="atLeast"/>
        </w:trPr>
        <w:tc>
          <w:tcPr>
            <w:tcW w:w="1653" w:type="dxa"/>
            <w:vAlign w:val="center"/>
          </w:tcPr>
          <w:p w14:paraId="33DC3433">
            <w:pPr>
              <w:rPr>
                <w:rFonts w:ascii="宋体" w:hAnsi="宋体"/>
                <w:snapToGrid w:val="0"/>
                <w:color w:val="000000" w:themeColor="text1"/>
                <w:sz w:val="28"/>
                <w:szCs w:val="28"/>
                <w14:textFill>
                  <w14:solidFill>
                    <w14:schemeClr w14:val="tx1"/>
                  </w14:solidFill>
                </w14:textFill>
              </w:rPr>
            </w:pPr>
          </w:p>
        </w:tc>
        <w:tc>
          <w:tcPr>
            <w:tcW w:w="7661" w:type="dxa"/>
            <w:vAlign w:val="center"/>
          </w:tcPr>
          <w:p w14:paraId="6AEC7EB1">
            <w:pPr>
              <w:rPr>
                <w:rFonts w:ascii="宋体" w:hAnsi="宋体"/>
                <w:snapToGrid w:val="0"/>
                <w:color w:val="000000" w:themeColor="text1"/>
                <w:sz w:val="28"/>
                <w:szCs w:val="28"/>
                <w14:textFill>
                  <w14:solidFill>
                    <w14:schemeClr w14:val="tx1"/>
                  </w14:solidFill>
                </w14:textFill>
              </w:rPr>
            </w:pPr>
          </w:p>
        </w:tc>
      </w:tr>
      <w:tr w14:paraId="78982077">
        <w:tblPrEx>
          <w:tblCellMar>
            <w:top w:w="0" w:type="dxa"/>
            <w:left w:w="108" w:type="dxa"/>
            <w:bottom w:w="0" w:type="dxa"/>
            <w:right w:w="108" w:type="dxa"/>
          </w:tblCellMar>
        </w:tblPrEx>
        <w:trPr>
          <w:trHeight w:val="624" w:hRule="atLeast"/>
        </w:trPr>
        <w:tc>
          <w:tcPr>
            <w:tcW w:w="1653" w:type="dxa"/>
            <w:vAlign w:val="center"/>
          </w:tcPr>
          <w:p w14:paraId="4803DA3F">
            <w:pPr>
              <w:rPr>
                <w:rFonts w:ascii="宋体" w:hAnsi="宋体"/>
                <w:snapToGrid w:val="0"/>
                <w:color w:val="000000" w:themeColor="text1"/>
                <w:sz w:val="28"/>
                <w:szCs w:val="28"/>
                <w:highlight w:val="none"/>
                <w14:textFill>
                  <w14:solidFill>
                    <w14:schemeClr w14:val="tx1"/>
                  </w14:solidFill>
                </w14:textFill>
              </w:rPr>
            </w:pPr>
            <w:r>
              <w:rPr>
                <w:rFonts w:hint="eastAsia" w:ascii="宋体" w:hAnsi="宋体"/>
                <w:snapToGrid w:val="0"/>
                <w:color w:val="000000" w:themeColor="text1"/>
                <w:sz w:val="28"/>
                <w:szCs w:val="28"/>
                <w:highlight w:val="none"/>
                <w14:textFill>
                  <w14:solidFill>
                    <w14:schemeClr w14:val="tx1"/>
                  </w14:solidFill>
                </w14:textFill>
              </w:rPr>
              <w:t>第一部分</w:t>
            </w:r>
          </w:p>
        </w:tc>
        <w:tc>
          <w:tcPr>
            <w:tcW w:w="7661" w:type="dxa"/>
            <w:vAlign w:val="center"/>
          </w:tcPr>
          <w:p w14:paraId="3EADC7D3">
            <w:pPr>
              <w:rPr>
                <w:rFonts w:ascii="宋体" w:hAnsi="宋体"/>
                <w:snapToGrid w:val="0"/>
                <w:color w:val="000000" w:themeColor="text1"/>
                <w:sz w:val="28"/>
                <w:szCs w:val="28"/>
                <w:highlight w:val="none"/>
                <w14:textFill>
                  <w14:solidFill>
                    <w14:schemeClr w14:val="tx1"/>
                  </w14:solidFill>
                </w14:textFill>
              </w:rPr>
            </w:pPr>
            <w:r>
              <w:rPr>
                <w:rFonts w:ascii="宋体" w:hAnsi="宋体"/>
                <w:snapToGrid w:val="0"/>
                <w:color w:val="000000" w:themeColor="text1"/>
                <w:sz w:val="28"/>
                <w:szCs w:val="28"/>
                <w:highlight w:val="none"/>
                <w14:textFill>
                  <w14:solidFill>
                    <w14:schemeClr w14:val="tx1"/>
                  </w14:solidFill>
                </w14:textFill>
              </w:rPr>
              <w:t>合同协议书</w:t>
            </w:r>
          </w:p>
        </w:tc>
      </w:tr>
      <w:tr w14:paraId="5BE79761">
        <w:tblPrEx>
          <w:tblCellMar>
            <w:top w:w="0" w:type="dxa"/>
            <w:left w:w="108" w:type="dxa"/>
            <w:bottom w:w="0" w:type="dxa"/>
            <w:right w:w="108" w:type="dxa"/>
          </w:tblCellMar>
        </w:tblPrEx>
        <w:trPr>
          <w:trHeight w:val="624" w:hRule="atLeast"/>
        </w:trPr>
        <w:tc>
          <w:tcPr>
            <w:tcW w:w="1653" w:type="dxa"/>
            <w:vAlign w:val="center"/>
          </w:tcPr>
          <w:p w14:paraId="08BBA600">
            <w:pPr>
              <w:rPr>
                <w:rFonts w:ascii="宋体" w:hAnsi="宋体"/>
                <w:snapToGrid w:val="0"/>
                <w:color w:val="000000" w:themeColor="text1"/>
                <w:sz w:val="28"/>
                <w:szCs w:val="28"/>
                <w:highlight w:val="none"/>
                <w14:textFill>
                  <w14:solidFill>
                    <w14:schemeClr w14:val="tx1"/>
                  </w14:solidFill>
                </w14:textFill>
              </w:rPr>
            </w:pPr>
            <w:r>
              <w:rPr>
                <w:rFonts w:hint="eastAsia" w:ascii="宋体" w:hAnsi="宋体"/>
                <w:snapToGrid w:val="0"/>
                <w:color w:val="000000" w:themeColor="text1"/>
                <w:sz w:val="28"/>
                <w:szCs w:val="28"/>
                <w:highlight w:val="none"/>
                <w14:textFill>
                  <w14:solidFill>
                    <w14:schemeClr w14:val="tx1"/>
                  </w14:solidFill>
                </w14:textFill>
              </w:rPr>
              <w:t>第二部分</w:t>
            </w:r>
          </w:p>
        </w:tc>
        <w:tc>
          <w:tcPr>
            <w:tcW w:w="7661" w:type="dxa"/>
            <w:vAlign w:val="center"/>
          </w:tcPr>
          <w:p w14:paraId="589019BD">
            <w:pPr>
              <w:rPr>
                <w:rFonts w:ascii="宋体" w:hAnsi="宋体"/>
                <w:snapToGrid w:val="0"/>
                <w:color w:val="000000" w:themeColor="text1"/>
                <w:sz w:val="28"/>
                <w:szCs w:val="28"/>
                <w:highlight w:val="none"/>
                <w14:textFill>
                  <w14:solidFill>
                    <w14:schemeClr w14:val="tx1"/>
                  </w14:solidFill>
                </w14:textFill>
              </w:rPr>
            </w:pPr>
            <w:r>
              <w:rPr>
                <w:rFonts w:hint="eastAsia" w:ascii="宋体" w:hAnsi="宋体"/>
                <w:snapToGrid w:val="0"/>
                <w:color w:val="000000" w:themeColor="text1"/>
                <w:sz w:val="28"/>
                <w:szCs w:val="28"/>
                <w:highlight w:val="none"/>
                <w14:textFill>
                  <w14:solidFill>
                    <w14:schemeClr w14:val="tx1"/>
                  </w14:solidFill>
                </w14:textFill>
              </w:rPr>
              <w:t>合同条款</w:t>
            </w:r>
          </w:p>
        </w:tc>
      </w:tr>
      <w:tr w14:paraId="025D32B4">
        <w:tblPrEx>
          <w:tblCellMar>
            <w:top w:w="0" w:type="dxa"/>
            <w:left w:w="108" w:type="dxa"/>
            <w:bottom w:w="0" w:type="dxa"/>
            <w:right w:w="108" w:type="dxa"/>
          </w:tblCellMar>
        </w:tblPrEx>
        <w:trPr>
          <w:trHeight w:val="624" w:hRule="atLeast"/>
        </w:trPr>
        <w:tc>
          <w:tcPr>
            <w:tcW w:w="1653" w:type="dxa"/>
            <w:vAlign w:val="center"/>
          </w:tcPr>
          <w:p w14:paraId="42FBE436">
            <w:pPr>
              <w:jc w:val="right"/>
              <w:rPr>
                <w:rFonts w:ascii="宋体" w:hAnsi="宋体"/>
                <w:snapToGrid w:val="0"/>
                <w:color w:val="000000" w:themeColor="text1"/>
                <w:sz w:val="28"/>
                <w:szCs w:val="28"/>
                <w:highlight w:val="none"/>
                <w14:textFill>
                  <w14:solidFill>
                    <w14:schemeClr w14:val="tx1"/>
                  </w14:solidFill>
                </w14:textFill>
              </w:rPr>
            </w:pPr>
            <w:r>
              <w:rPr>
                <w:rFonts w:hint="eastAsia" w:ascii="宋体" w:hAnsi="宋体"/>
                <w:snapToGrid w:val="0"/>
                <w:color w:val="000000" w:themeColor="text1"/>
                <w:sz w:val="24"/>
                <w:highlight w:val="none"/>
                <w14:textFill>
                  <w14:solidFill>
                    <w14:schemeClr w14:val="tx1"/>
                  </w14:solidFill>
                </w14:textFill>
              </w:rPr>
              <w:t>第一章</w:t>
            </w:r>
          </w:p>
        </w:tc>
        <w:tc>
          <w:tcPr>
            <w:tcW w:w="7661" w:type="dxa"/>
            <w:vAlign w:val="center"/>
          </w:tcPr>
          <w:p w14:paraId="138AFFC9">
            <w:pPr>
              <w:rPr>
                <w:rFonts w:ascii="宋体" w:hAnsi="宋体"/>
                <w:snapToGrid w:val="0"/>
                <w:color w:val="000000" w:themeColor="text1"/>
                <w:sz w:val="28"/>
                <w:szCs w:val="28"/>
                <w:highlight w:val="none"/>
                <w14:textFill>
                  <w14:solidFill>
                    <w14:schemeClr w14:val="tx1"/>
                  </w14:solidFill>
                </w14:textFill>
              </w:rPr>
            </w:pPr>
            <w:r>
              <w:rPr>
                <w:rFonts w:hint="eastAsia" w:ascii="宋体" w:hAnsi="宋体"/>
                <w:snapToGrid w:val="0"/>
                <w:color w:val="000000" w:themeColor="text1"/>
                <w:sz w:val="24"/>
                <w:highlight w:val="none"/>
                <w14:textFill>
                  <w14:solidFill>
                    <w14:schemeClr w14:val="tx1"/>
                  </w14:solidFill>
                </w14:textFill>
              </w:rPr>
              <w:t xml:space="preserve">合同专用条款   </w:t>
            </w:r>
          </w:p>
        </w:tc>
      </w:tr>
      <w:tr w14:paraId="59443953">
        <w:tblPrEx>
          <w:tblCellMar>
            <w:top w:w="0" w:type="dxa"/>
            <w:left w:w="108" w:type="dxa"/>
            <w:bottom w:w="0" w:type="dxa"/>
            <w:right w:w="108" w:type="dxa"/>
          </w:tblCellMar>
        </w:tblPrEx>
        <w:trPr>
          <w:trHeight w:val="624" w:hRule="atLeast"/>
        </w:trPr>
        <w:tc>
          <w:tcPr>
            <w:tcW w:w="1653" w:type="dxa"/>
            <w:vAlign w:val="center"/>
          </w:tcPr>
          <w:p w14:paraId="46566F61">
            <w:pPr>
              <w:jc w:val="right"/>
              <w:rPr>
                <w:rFonts w:ascii="宋体" w:hAnsi="宋体"/>
                <w:snapToGrid w:val="0"/>
                <w:color w:val="000000" w:themeColor="text1"/>
                <w:sz w:val="24"/>
                <w:highlight w:val="none"/>
                <w14:textFill>
                  <w14:solidFill>
                    <w14:schemeClr w14:val="tx1"/>
                  </w14:solidFill>
                </w14:textFill>
              </w:rPr>
            </w:pPr>
            <w:r>
              <w:rPr>
                <w:rFonts w:hint="eastAsia" w:ascii="宋体" w:hAnsi="宋体"/>
                <w:snapToGrid w:val="0"/>
                <w:color w:val="000000" w:themeColor="text1"/>
                <w:sz w:val="24"/>
                <w:highlight w:val="none"/>
                <w14:textFill>
                  <w14:solidFill>
                    <w14:schemeClr w14:val="tx1"/>
                  </w14:solidFill>
                </w14:textFill>
              </w:rPr>
              <w:t>第二章</w:t>
            </w:r>
          </w:p>
        </w:tc>
        <w:tc>
          <w:tcPr>
            <w:tcW w:w="7661" w:type="dxa"/>
            <w:vAlign w:val="center"/>
          </w:tcPr>
          <w:p w14:paraId="44E41DA8">
            <w:pPr>
              <w:rPr>
                <w:rFonts w:ascii="宋体" w:hAnsi="宋体"/>
                <w:snapToGrid w:val="0"/>
                <w:color w:val="000000" w:themeColor="text1"/>
                <w:sz w:val="24"/>
                <w:highlight w:val="none"/>
                <w14:textFill>
                  <w14:solidFill>
                    <w14:schemeClr w14:val="tx1"/>
                  </w14:solidFill>
                </w14:textFill>
              </w:rPr>
            </w:pPr>
            <w:r>
              <w:rPr>
                <w:rFonts w:hint="eastAsia" w:ascii="宋体" w:hAnsi="宋体"/>
                <w:snapToGrid w:val="0"/>
                <w:color w:val="000000" w:themeColor="text1"/>
                <w:sz w:val="24"/>
                <w:highlight w:val="none"/>
                <w14:textFill>
                  <w14:solidFill>
                    <w14:schemeClr w14:val="tx1"/>
                  </w14:solidFill>
                </w14:textFill>
              </w:rPr>
              <w:t>合同通用条款</w:t>
            </w:r>
          </w:p>
        </w:tc>
      </w:tr>
      <w:tr w14:paraId="2F3CCA35">
        <w:tblPrEx>
          <w:tblCellMar>
            <w:top w:w="0" w:type="dxa"/>
            <w:left w:w="108" w:type="dxa"/>
            <w:bottom w:w="0" w:type="dxa"/>
            <w:right w:w="108" w:type="dxa"/>
          </w:tblCellMar>
        </w:tblPrEx>
        <w:trPr>
          <w:trHeight w:val="624" w:hRule="atLeast"/>
        </w:trPr>
        <w:tc>
          <w:tcPr>
            <w:tcW w:w="1653" w:type="dxa"/>
            <w:vAlign w:val="center"/>
          </w:tcPr>
          <w:p w14:paraId="2176536B">
            <w:pPr>
              <w:rPr>
                <w:rFonts w:hint="eastAsia" w:ascii="宋体" w:hAnsi="宋体" w:eastAsia="宋体" w:cs="Times New Roman"/>
                <w:snapToGrid w:val="0"/>
                <w:color w:val="000000" w:themeColor="text1"/>
                <w:sz w:val="28"/>
                <w:szCs w:val="28"/>
                <w:highlight w:val="none"/>
                <w14:textFill>
                  <w14:solidFill>
                    <w14:schemeClr w14:val="tx1"/>
                  </w14:solidFill>
                </w14:textFill>
              </w:rPr>
            </w:pPr>
            <w:r>
              <w:rPr>
                <w:rFonts w:hint="eastAsia" w:ascii="宋体" w:hAnsi="宋体" w:eastAsia="宋体" w:cs="Times New Roman"/>
                <w:snapToGrid w:val="0"/>
                <w:color w:val="000000" w:themeColor="text1"/>
                <w:sz w:val="28"/>
                <w:szCs w:val="28"/>
                <w:highlight w:val="none"/>
                <w14:textFill>
                  <w14:solidFill>
                    <w14:schemeClr w14:val="tx1"/>
                  </w14:solidFill>
                </w14:textFill>
              </w:rPr>
              <w:t>第三部分</w:t>
            </w:r>
          </w:p>
        </w:tc>
        <w:tc>
          <w:tcPr>
            <w:tcW w:w="7661" w:type="dxa"/>
            <w:vAlign w:val="center"/>
          </w:tcPr>
          <w:p w14:paraId="59F0CA7F">
            <w:pPr>
              <w:rPr>
                <w:rFonts w:hint="eastAsia" w:ascii="宋体" w:hAnsi="宋体" w:eastAsia="宋体" w:cs="Times New Roman"/>
                <w:snapToGrid w:val="0"/>
                <w:color w:val="000000" w:themeColor="text1"/>
                <w:sz w:val="28"/>
                <w:szCs w:val="28"/>
                <w:highlight w:val="none"/>
                <w14:textFill>
                  <w14:solidFill>
                    <w14:schemeClr w14:val="tx1"/>
                  </w14:solidFill>
                </w14:textFill>
              </w:rPr>
            </w:pPr>
            <w:r>
              <w:rPr>
                <w:rFonts w:hint="eastAsia" w:ascii="宋体" w:hAnsi="宋体" w:eastAsia="宋体" w:cs="Times New Roman"/>
                <w:snapToGrid w:val="0"/>
                <w:color w:val="000000" w:themeColor="text1"/>
                <w:sz w:val="28"/>
                <w:szCs w:val="28"/>
                <w:highlight w:val="none"/>
                <w14:textFill>
                  <w14:solidFill>
                    <w14:schemeClr w14:val="tx1"/>
                  </w14:solidFill>
                </w14:textFill>
              </w:rPr>
              <w:t>技术标准和工程建设标准</w:t>
            </w:r>
          </w:p>
        </w:tc>
      </w:tr>
      <w:tr w14:paraId="4EED85B8">
        <w:tblPrEx>
          <w:tblCellMar>
            <w:top w:w="0" w:type="dxa"/>
            <w:left w:w="108" w:type="dxa"/>
            <w:bottom w:w="0" w:type="dxa"/>
            <w:right w:w="108" w:type="dxa"/>
          </w:tblCellMar>
        </w:tblPrEx>
        <w:trPr>
          <w:trHeight w:val="624" w:hRule="atLeast"/>
        </w:trPr>
        <w:tc>
          <w:tcPr>
            <w:tcW w:w="1653" w:type="dxa"/>
            <w:vAlign w:val="center"/>
          </w:tcPr>
          <w:p w14:paraId="2DDC5EEF">
            <w:pPr>
              <w:rPr>
                <w:rFonts w:ascii="宋体" w:hAnsi="宋体"/>
                <w:snapToGrid w:val="0"/>
                <w:color w:val="000000" w:themeColor="text1"/>
                <w:sz w:val="28"/>
                <w:szCs w:val="28"/>
                <w:highlight w:val="none"/>
                <w14:textFill>
                  <w14:solidFill>
                    <w14:schemeClr w14:val="tx1"/>
                  </w14:solidFill>
                </w14:textFill>
              </w:rPr>
            </w:pPr>
            <w:r>
              <w:rPr>
                <w:rFonts w:hint="eastAsia" w:ascii="宋体" w:hAnsi="宋体"/>
                <w:snapToGrid w:val="0"/>
                <w:color w:val="000000" w:themeColor="text1"/>
                <w:sz w:val="28"/>
                <w:szCs w:val="28"/>
                <w:highlight w:val="none"/>
                <w14:textFill>
                  <w14:solidFill>
                    <w14:schemeClr w14:val="tx1"/>
                  </w14:solidFill>
                </w14:textFill>
              </w:rPr>
              <w:t>第四部分</w:t>
            </w:r>
          </w:p>
        </w:tc>
        <w:tc>
          <w:tcPr>
            <w:tcW w:w="7661" w:type="dxa"/>
            <w:vAlign w:val="center"/>
          </w:tcPr>
          <w:p w14:paraId="559C0FAC">
            <w:pPr>
              <w:rPr>
                <w:rFonts w:ascii="宋体" w:hAnsi="宋体"/>
                <w:snapToGrid w:val="0"/>
                <w:color w:val="000000" w:themeColor="text1"/>
                <w:sz w:val="28"/>
                <w:szCs w:val="28"/>
                <w:highlight w:val="none"/>
                <w14:textFill>
                  <w14:solidFill>
                    <w14:schemeClr w14:val="tx1"/>
                  </w14:solidFill>
                </w14:textFill>
              </w:rPr>
            </w:pPr>
            <w:r>
              <w:rPr>
                <w:rFonts w:hint="eastAsia" w:ascii="宋体" w:hAnsi="宋体"/>
                <w:snapToGrid w:val="0"/>
                <w:color w:val="000000" w:themeColor="text1"/>
                <w:sz w:val="28"/>
                <w:szCs w:val="28"/>
                <w:highlight w:val="none"/>
                <w14:textFill>
                  <w14:solidFill>
                    <w14:schemeClr w14:val="tx1"/>
                  </w14:solidFill>
                </w14:textFill>
              </w:rPr>
              <w:t>合同清单</w:t>
            </w:r>
          </w:p>
        </w:tc>
      </w:tr>
      <w:tr w14:paraId="387B0943">
        <w:tblPrEx>
          <w:tblCellMar>
            <w:top w:w="0" w:type="dxa"/>
            <w:left w:w="108" w:type="dxa"/>
            <w:bottom w:w="0" w:type="dxa"/>
            <w:right w:w="108" w:type="dxa"/>
          </w:tblCellMar>
        </w:tblPrEx>
        <w:trPr>
          <w:trHeight w:val="624" w:hRule="atLeast"/>
        </w:trPr>
        <w:tc>
          <w:tcPr>
            <w:tcW w:w="1653" w:type="dxa"/>
            <w:vAlign w:val="center"/>
          </w:tcPr>
          <w:p w14:paraId="444442C1">
            <w:pPr>
              <w:rPr>
                <w:rFonts w:ascii="宋体" w:hAnsi="宋体"/>
                <w:snapToGrid w:val="0"/>
                <w:color w:val="000000" w:themeColor="text1"/>
                <w:sz w:val="28"/>
                <w:szCs w:val="28"/>
                <w:highlight w:val="none"/>
                <w14:textFill>
                  <w14:solidFill>
                    <w14:schemeClr w14:val="tx1"/>
                  </w14:solidFill>
                </w14:textFill>
              </w:rPr>
            </w:pPr>
            <w:r>
              <w:rPr>
                <w:rFonts w:hint="eastAsia" w:ascii="宋体" w:hAnsi="宋体"/>
                <w:snapToGrid w:val="0"/>
                <w:color w:val="000000" w:themeColor="text1"/>
                <w:sz w:val="28"/>
                <w:szCs w:val="28"/>
                <w:highlight w:val="none"/>
                <w14:textFill>
                  <w14:solidFill>
                    <w14:schemeClr w14:val="tx1"/>
                  </w14:solidFill>
                </w14:textFill>
              </w:rPr>
              <w:t>第五部分</w:t>
            </w:r>
          </w:p>
        </w:tc>
        <w:tc>
          <w:tcPr>
            <w:tcW w:w="7661" w:type="dxa"/>
            <w:vAlign w:val="center"/>
          </w:tcPr>
          <w:p w14:paraId="67FED234">
            <w:pPr>
              <w:rPr>
                <w:rFonts w:ascii="宋体" w:hAnsi="宋体"/>
                <w:snapToGrid w:val="0"/>
                <w:color w:val="000000" w:themeColor="text1"/>
                <w:sz w:val="28"/>
                <w:szCs w:val="28"/>
                <w:highlight w:val="none"/>
                <w14:textFill>
                  <w14:solidFill>
                    <w14:schemeClr w14:val="tx1"/>
                  </w14:solidFill>
                </w14:textFill>
              </w:rPr>
            </w:pPr>
            <w:r>
              <w:rPr>
                <w:rFonts w:hint="eastAsia" w:ascii="宋体" w:hAnsi="宋体"/>
                <w:snapToGrid w:val="0"/>
                <w:color w:val="000000" w:themeColor="text1"/>
                <w:sz w:val="28"/>
                <w:szCs w:val="28"/>
                <w:highlight w:val="none"/>
                <w14:textFill>
                  <w14:solidFill>
                    <w14:schemeClr w14:val="tx1"/>
                  </w14:solidFill>
                </w14:textFill>
              </w:rPr>
              <w:t>合同附件</w:t>
            </w:r>
          </w:p>
        </w:tc>
      </w:tr>
    </w:tbl>
    <w:p w14:paraId="09C19E71">
      <w:pPr>
        <w:spacing w:line="360" w:lineRule="auto"/>
        <w:ind w:left="142" w:firstLine="808" w:firstLineChars="33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附件1：总监理工程师委派书</w:t>
      </w:r>
    </w:p>
    <w:p w14:paraId="745CA7B1">
      <w:pPr>
        <w:spacing w:line="360" w:lineRule="auto"/>
        <w:ind w:left="142" w:firstLine="808" w:firstLineChars="337"/>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附件2：项目监理机构人员配置表</w:t>
      </w:r>
    </w:p>
    <w:p w14:paraId="271D180C">
      <w:pPr>
        <w:spacing w:line="360" w:lineRule="auto"/>
        <w:ind w:left="142" w:firstLine="808" w:firstLineChars="33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附件3：安全文明施工违约附录</w:t>
      </w:r>
    </w:p>
    <w:p w14:paraId="29AF80D3">
      <w:pPr>
        <w:spacing w:line="360" w:lineRule="auto"/>
        <w:ind w:left="142" w:firstLine="808" w:firstLineChars="337"/>
        <w:rPr>
          <w:rFonts w:hint="eastAsia" w:ascii="宋体" w:hAnsi="宋体" w:cs="宋体"/>
          <w:color w:val="auto"/>
          <w:sz w:val="24"/>
          <w:highlight w:val="none"/>
        </w:rPr>
      </w:pPr>
    </w:p>
    <w:p w14:paraId="5A850F02">
      <w:pPr>
        <w:spacing w:line="360" w:lineRule="auto"/>
        <w:ind w:left="630" w:hanging="630" w:hangingChars="300"/>
        <w:rPr>
          <w:rFonts w:ascii="宋体" w:hAnsi="宋体" w:cs="Arial"/>
          <w:snapToGrid w:val="0"/>
          <w:color w:val="000000" w:themeColor="text1"/>
          <w:szCs w:val="21"/>
          <w14:textFill>
            <w14:solidFill>
              <w14:schemeClr w14:val="tx1"/>
            </w14:solidFill>
          </w14:textFill>
        </w:rPr>
        <w:sectPr>
          <w:footerReference r:id="rId14" w:type="default"/>
          <w:pgSz w:w="11906" w:h="16838"/>
          <w:pgMar w:top="1134" w:right="1134" w:bottom="1134" w:left="1418" w:header="851" w:footer="624" w:gutter="0"/>
          <w:pgNumType w:fmt="decimal"/>
          <w:cols w:space="425" w:num="1"/>
          <w:docGrid w:linePitch="312" w:charSpace="0"/>
        </w:sectPr>
      </w:pPr>
    </w:p>
    <w:p w14:paraId="1B3A4E85">
      <w:pPr>
        <w:keepNext/>
        <w:keepLines/>
        <w:pageBreakBefore w:val="0"/>
        <w:widowControl w:val="0"/>
        <w:kinsoku/>
        <w:wordWrap/>
        <w:overflowPunct/>
        <w:topLinePunct w:val="0"/>
        <w:autoSpaceDE/>
        <w:autoSpaceDN/>
        <w:bidi w:val="0"/>
        <w:adjustRightInd/>
        <w:snapToGrid/>
        <w:spacing w:before="120" w:beforeLines="50" w:after="157" w:afterLines="50" w:line="360" w:lineRule="auto"/>
        <w:jc w:val="center"/>
        <w:textAlignment w:val="auto"/>
        <w:outlineLvl w:val="0"/>
        <w:rPr>
          <w:rFonts w:ascii="宋体" w:hAnsi="宋体" w:cs="Arial"/>
          <w:b/>
          <w:bCs/>
          <w:snapToGrid w:val="0"/>
          <w:color w:val="000000" w:themeColor="text1"/>
          <w:kern w:val="44"/>
          <w:sz w:val="28"/>
          <w:szCs w:val="28"/>
          <w14:textFill>
            <w14:solidFill>
              <w14:schemeClr w14:val="tx1"/>
            </w14:solidFill>
          </w14:textFill>
        </w:rPr>
      </w:pPr>
      <w:bookmarkStart w:id="298" w:name="_Toc10672"/>
      <w:bookmarkStart w:id="299" w:name="_Toc336433969"/>
      <w:bookmarkStart w:id="300" w:name="_Toc22310"/>
      <w:bookmarkStart w:id="301" w:name="_Toc336432106"/>
      <w:bookmarkStart w:id="302" w:name="_Toc336440354"/>
      <w:bookmarkStart w:id="303" w:name="_Toc14108"/>
      <w:bookmarkStart w:id="304" w:name="_Toc22122"/>
      <w:bookmarkStart w:id="305" w:name="_Toc21043"/>
      <w:bookmarkStart w:id="306" w:name="_Toc341124903"/>
      <w:bookmarkStart w:id="307" w:name="_Toc336433163"/>
      <w:r>
        <w:rPr>
          <w:rFonts w:ascii="宋体" w:hAnsi="宋体" w:cs="Arial"/>
          <w:b/>
          <w:bCs/>
          <w:snapToGrid w:val="0"/>
          <w:color w:val="000000" w:themeColor="text1"/>
          <w:kern w:val="44"/>
          <w:sz w:val="28"/>
          <w:szCs w:val="28"/>
          <w14:textFill>
            <w14:solidFill>
              <w14:schemeClr w14:val="tx1"/>
            </w14:solidFill>
          </w14:textFill>
        </w:rPr>
        <w:t>第</w:t>
      </w:r>
      <w:r>
        <w:rPr>
          <w:rFonts w:hint="eastAsia" w:ascii="宋体" w:hAnsi="宋体" w:cs="Arial"/>
          <w:b/>
          <w:bCs/>
          <w:snapToGrid w:val="0"/>
          <w:color w:val="000000" w:themeColor="text1"/>
          <w:kern w:val="44"/>
          <w:sz w:val="28"/>
          <w:szCs w:val="28"/>
          <w14:textFill>
            <w14:solidFill>
              <w14:schemeClr w14:val="tx1"/>
            </w14:solidFill>
          </w14:textFill>
        </w:rPr>
        <w:t>一部分</w:t>
      </w:r>
      <w:r>
        <w:rPr>
          <w:rFonts w:ascii="宋体" w:hAnsi="宋体" w:cs="Arial"/>
          <w:b/>
          <w:bCs/>
          <w:snapToGrid w:val="0"/>
          <w:color w:val="000000" w:themeColor="text1"/>
          <w:kern w:val="44"/>
          <w:sz w:val="28"/>
          <w:szCs w:val="28"/>
          <w14:textFill>
            <w14:solidFill>
              <w14:schemeClr w14:val="tx1"/>
            </w14:solidFill>
          </w14:textFill>
        </w:rPr>
        <w:t xml:space="preserve">  合同协议书</w:t>
      </w:r>
      <w:bookmarkEnd w:id="298"/>
      <w:bookmarkEnd w:id="299"/>
      <w:bookmarkEnd w:id="300"/>
      <w:bookmarkEnd w:id="301"/>
      <w:bookmarkEnd w:id="302"/>
      <w:bookmarkEnd w:id="303"/>
      <w:bookmarkEnd w:id="304"/>
      <w:bookmarkEnd w:id="305"/>
      <w:bookmarkEnd w:id="306"/>
      <w:bookmarkEnd w:id="307"/>
    </w:p>
    <w:p w14:paraId="2C64DA06">
      <w:pPr>
        <w:pStyle w:val="16"/>
        <w:keepNext w:val="0"/>
        <w:keepLines w:val="0"/>
        <w:pageBreakBefore w:val="0"/>
        <w:widowControl w:val="0"/>
        <w:kinsoku/>
        <w:wordWrap/>
        <w:overflowPunct/>
        <w:topLinePunct w:val="0"/>
        <w:autoSpaceDE/>
        <w:autoSpaceDN/>
        <w:bidi w:val="0"/>
        <w:adjustRightInd/>
        <w:snapToGrid/>
        <w:spacing w:line="300" w:lineRule="auto"/>
        <w:ind w:left="840" w:leftChars="400"/>
        <w:textAlignment w:val="auto"/>
        <w:rPr>
          <w:rFonts w:hint="eastAsia" w:ascii="宋体" w:hAnsi="宋体" w:eastAsia="宋体" w:cs="宋体"/>
          <w:b/>
          <w:bCs/>
          <w:sz w:val="24"/>
          <w:szCs w:val="24"/>
        </w:rPr>
      </w:pPr>
      <w:r>
        <w:rPr>
          <w:rFonts w:hint="eastAsia" w:cs="宋体"/>
          <w:b/>
          <w:bCs/>
          <w:spacing w:val="40"/>
          <w:kern w:val="2"/>
          <w:sz w:val="24"/>
          <w:szCs w:val="24"/>
          <w:lang w:val="en-US" w:eastAsia="zh-CN" w:bidi="ar-SA"/>
        </w:rPr>
        <w:t>委托人</w:t>
      </w:r>
      <w:r>
        <w:rPr>
          <w:rFonts w:hint="eastAsia" w:ascii="宋体" w:hAnsi="宋体" w:eastAsia="宋体" w:cs="宋体"/>
          <w:b/>
          <w:bCs/>
          <w:sz w:val="24"/>
          <w:szCs w:val="24"/>
        </w:rPr>
        <w:t>（全称）：</w:t>
      </w:r>
      <w:r>
        <w:rPr>
          <w:rFonts w:hint="eastAsia" w:cs="宋体"/>
          <w:b/>
          <w:bCs/>
          <w:sz w:val="24"/>
          <w:szCs w:val="24"/>
          <w:u w:val="single"/>
          <w:lang w:val="en-US" w:eastAsia="zh-CN"/>
        </w:rPr>
        <w:t xml:space="preserve">重庆海联职业技术学院   </w:t>
      </w:r>
      <w:r>
        <w:rPr>
          <w:rFonts w:hint="eastAsia" w:ascii="宋体" w:hAnsi="宋体" w:eastAsia="宋体" w:cs="宋体"/>
          <w:b/>
          <w:bCs/>
          <w:sz w:val="24"/>
          <w:szCs w:val="24"/>
        </w:rPr>
        <w:t>（后简称：</w:t>
      </w:r>
      <w:r>
        <w:rPr>
          <w:rFonts w:hint="eastAsia" w:cs="宋体"/>
          <w:b/>
          <w:bCs/>
          <w:sz w:val="24"/>
          <w:szCs w:val="24"/>
          <w:lang w:val="en-US" w:eastAsia="zh-CN"/>
        </w:rPr>
        <w:t>甲方</w:t>
      </w:r>
      <w:r>
        <w:rPr>
          <w:rFonts w:hint="eastAsia" w:ascii="宋体" w:hAnsi="宋体" w:eastAsia="宋体" w:cs="宋体"/>
          <w:b/>
          <w:bCs/>
          <w:sz w:val="24"/>
          <w:szCs w:val="24"/>
        </w:rPr>
        <w:t>）</w:t>
      </w:r>
    </w:p>
    <w:p w14:paraId="11F65F7E">
      <w:pPr>
        <w:keepNext w:val="0"/>
        <w:keepLines w:val="0"/>
        <w:pageBreakBefore w:val="0"/>
        <w:widowControl w:val="0"/>
        <w:kinsoku/>
        <w:wordWrap/>
        <w:overflowPunct/>
        <w:topLinePunct w:val="0"/>
        <w:autoSpaceDE/>
        <w:autoSpaceDN/>
        <w:bidi w:val="0"/>
        <w:spacing w:line="300" w:lineRule="auto"/>
        <w:ind w:left="840" w:leftChars="40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cs="宋体"/>
          <w:b/>
          <w:bCs/>
          <w:spacing w:val="40"/>
          <w:sz w:val="24"/>
          <w:szCs w:val="24"/>
          <w:lang w:val="en-US" w:eastAsia="zh-CN"/>
        </w:rPr>
        <w:t>监理人</w:t>
      </w:r>
      <w:r>
        <w:rPr>
          <w:rFonts w:hint="eastAsia" w:ascii="宋体" w:hAnsi="宋体" w:eastAsia="宋体" w:cs="宋体"/>
          <w:b/>
          <w:bCs/>
          <w:sz w:val="24"/>
          <w:szCs w:val="24"/>
        </w:rPr>
        <w:t>（全称）：</w:t>
      </w:r>
      <w:r>
        <w:rPr>
          <w:rFonts w:hint="eastAsia" w:ascii="宋体" w:hAnsi="宋体" w:cs="宋体"/>
          <w:b/>
          <w:bCs/>
          <w:kern w:val="2"/>
          <w:sz w:val="24"/>
          <w:szCs w:val="24"/>
          <w:u w:val="single"/>
          <w:lang w:val="en-US" w:eastAsia="zh-CN" w:bidi="ar-SA"/>
        </w:rPr>
        <w:t xml:space="preserve">                       </w:t>
      </w:r>
      <w:r>
        <w:rPr>
          <w:rFonts w:hint="eastAsia" w:ascii="宋体" w:hAnsi="宋体" w:eastAsia="宋体" w:cs="宋体"/>
          <w:b/>
          <w:bCs/>
          <w:sz w:val="24"/>
          <w:szCs w:val="24"/>
        </w:rPr>
        <w:t>（后简称：</w:t>
      </w:r>
      <w:r>
        <w:rPr>
          <w:rFonts w:hint="eastAsia" w:ascii="宋体" w:hAnsi="宋体" w:cs="宋体"/>
          <w:b/>
          <w:bCs/>
          <w:sz w:val="24"/>
          <w:szCs w:val="24"/>
          <w:lang w:val="en-US" w:eastAsia="zh-CN"/>
        </w:rPr>
        <w:t>乙方</w:t>
      </w:r>
      <w:r>
        <w:rPr>
          <w:rFonts w:hint="eastAsia" w:ascii="宋体" w:hAnsi="宋体" w:eastAsia="宋体" w:cs="宋体"/>
          <w:b/>
          <w:bCs/>
          <w:sz w:val="24"/>
          <w:szCs w:val="24"/>
        </w:rPr>
        <w:t>）</w:t>
      </w:r>
    </w:p>
    <w:p w14:paraId="41FAF504">
      <w:pPr>
        <w:keepNext w:val="0"/>
        <w:keepLines w:val="0"/>
        <w:pageBreakBefore w:val="0"/>
        <w:widowControl w:val="0"/>
        <w:kinsoku/>
        <w:wordWrap/>
        <w:overflowPunct/>
        <w:topLinePunct w:val="0"/>
        <w:autoSpaceDE/>
        <w:autoSpaceDN/>
        <w:bidi w:val="0"/>
        <w:adjustRightInd w:val="0"/>
        <w:snapToGrid w:val="0"/>
        <w:spacing w:before="63" w:beforeLines="20" w:after="63" w:afterLines="20" w:line="300" w:lineRule="auto"/>
        <w:ind w:left="840" w:leftChars="40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color w:val="000000"/>
          <w:sz w:val="24"/>
          <w:szCs w:val="24"/>
          <w:highlight w:val="none"/>
        </w:rPr>
        <w:t>依照《中华人民共和国民法典》</w:t>
      </w:r>
      <w:r>
        <w:rPr>
          <w:rFonts w:hint="eastAsia" w:ascii="宋体" w:hAnsi="宋体" w:cs="宋体"/>
          <w:color w:val="000000"/>
          <w:sz w:val="24"/>
          <w:szCs w:val="24"/>
          <w:highlight w:val="none"/>
          <w:lang w:eastAsia="zh-CN"/>
        </w:rPr>
        <w:t>、</w:t>
      </w:r>
      <w:r>
        <w:rPr>
          <w:rFonts w:hint="eastAsia" w:ascii="宋体" w:hAnsi="宋体" w:eastAsia="宋体" w:cs="宋体"/>
          <w:color w:val="000000"/>
          <w:sz w:val="24"/>
          <w:szCs w:val="24"/>
          <w:highlight w:val="none"/>
        </w:rPr>
        <w:t>《中华人民共和国建筑法》及有关法律</w:t>
      </w:r>
      <w:r>
        <w:rPr>
          <w:rFonts w:hint="eastAsia" w:ascii="宋体" w:hAnsi="宋体" w:cs="宋体"/>
          <w:color w:val="000000"/>
          <w:sz w:val="24"/>
          <w:szCs w:val="24"/>
          <w:highlight w:val="none"/>
          <w:lang w:val="en-US" w:eastAsia="zh-CN"/>
        </w:rPr>
        <w:t>规定</w:t>
      </w:r>
      <w:r>
        <w:rPr>
          <w:rFonts w:hint="eastAsia" w:ascii="宋体" w:hAnsi="宋体" w:eastAsia="宋体" w:cs="宋体"/>
          <w:color w:val="000000"/>
          <w:sz w:val="24"/>
          <w:szCs w:val="24"/>
          <w:highlight w:val="none"/>
        </w:rPr>
        <w:t>，遵循平等、自愿、公平和诚实信用的原则，双方就</w:t>
      </w:r>
      <w:r>
        <w:rPr>
          <w:rFonts w:hint="eastAsia" w:ascii="宋体" w:hAnsi="宋体" w:cs="宋体"/>
          <w:color w:val="000000"/>
          <w:sz w:val="24"/>
          <w:szCs w:val="24"/>
          <w:highlight w:val="none"/>
          <w:u w:val="single"/>
          <w:lang w:eastAsia="zh-CN"/>
        </w:rPr>
        <w:t>重庆海联职业技术学院两江校区项目</w:t>
      </w:r>
      <w:r>
        <w:rPr>
          <w:rFonts w:hint="eastAsia" w:ascii="宋体" w:hAnsi="宋体" w:cs="宋体"/>
          <w:color w:val="000000"/>
          <w:sz w:val="24"/>
          <w:szCs w:val="24"/>
          <w:highlight w:val="none"/>
          <w:u w:val="single"/>
          <w:lang w:val="en-US" w:eastAsia="zh-CN"/>
        </w:rPr>
        <w:t>监理咨询服务</w:t>
      </w:r>
      <w:r>
        <w:rPr>
          <w:rFonts w:hint="eastAsia" w:ascii="宋体" w:hAnsi="宋体" w:eastAsia="宋体" w:cs="宋体"/>
          <w:snapToGrid w:val="0"/>
          <w:color w:val="000000" w:themeColor="text1"/>
          <w:sz w:val="24"/>
          <w:szCs w:val="24"/>
          <w14:textFill>
            <w14:solidFill>
              <w14:schemeClr w14:val="tx1"/>
            </w14:solidFill>
          </w14:textFill>
        </w:rPr>
        <w:t>内容的</w:t>
      </w:r>
      <w:r>
        <w:rPr>
          <w:rFonts w:hint="eastAsia" w:ascii="宋体" w:hAnsi="宋体" w:eastAsia="宋体" w:cs="宋体"/>
          <w:snapToGrid w:val="0"/>
          <w:color w:val="000000" w:themeColor="text1"/>
          <w:sz w:val="24"/>
          <w:szCs w:val="24"/>
          <w:lang w:val="en-US" w:eastAsia="zh-CN"/>
          <w14:textFill>
            <w14:solidFill>
              <w14:schemeClr w14:val="tx1"/>
            </w14:solidFill>
          </w14:textFill>
        </w:rPr>
        <w:t>相关</w:t>
      </w:r>
      <w:r>
        <w:rPr>
          <w:rFonts w:hint="eastAsia" w:ascii="宋体" w:hAnsi="宋体" w:eastAsia="宋体" w:cs="宋体"/>
          <w:snapToGrid w:val="0"/>
          <w:color w:val="000000" w:themeColor="text1"/>
          <w:sz w:val="24"/>
          <w:szCs w:val="24"/>
          <w14:textFill>
            <w14:solidFill>
              <w14:schemeClr w14:val="tx1"/>
            </w14:solidFill>
          </w14:textFill>
        </w:rPr>
        <w:t>事</w:t>
      </w:r>
      <w:r>
        <w:rPr>
          <w:rFonts w:hint="eastAsia" w:ascii="宋体" w:hAnsi="宋体" w:cs="宋体"/>
          <w:snapToGrid w:val="0"/>
          <w:color w:val="000000" w:themeColor="text1"/>
          <w:sz w:val="24"/>
          <w:szCs w:val="24"/>
          <w:lang w:val="en-US" w:eastAsia="zh-CN"/>
          <w14:textFill>
            <w14:solidFill>
              <w14:schemeClr w14:val="tx1"/>
            </w14:solidFill>
          </w14:textFill>
        </w:rPr>
        <w:t>项</w:t>
      </w:r>
      <w:r>
        <w:rPr>
          <w:rFonts w:hint="eastAsia" w:ascii="宋体" w:hAnsi="宋体" w:eastAsia="宋体" w:cs="宋体"/>
          <w:snapToGrid w:val="0"/>
          <w:color w:val="000000" w:themeColor="text1"/>
          <w:sz w:val="24"/>
          <w:szCs w:val="24"/>
          <w14:textFill>
            <w14:solidFill>
              <w14:schemeClr w14:val="tx1"/>
            </w14:solidFill>
          </w14:textFill>
        </w:rPr>
        <w:t>协商一致，</w:t>
      </w:r>
      <w:r>
        <w:rPr>
          <w:rFonts w:hint="eastAsia" w:ascii="宋体" w:hAnsi="宋体" w:cs="宋体"/>
          <w:snapToGrid w:val="0"/>
          <w:color w:val="000000" w:themeColor="text1"/>
          <w:sz w:val="24"/>
          <w:szCs w:val="24"/>
          <w:lang w:val="en-US" w:eastAsia="zh-CN"/>
          <w14:textFill>
            <w14:solidFill>
              <w14:schemeClr w14:val="tx1"/>
            </w14:solidFill>
          </w14:textFill>
        </w:rPr>
        <w:t>共同达成如下协议</w:t>
      </w:r>
      <w:r>
        <w:rPr>
          <w:rFonts w:hint="eastAsia" w:ascii="宋体" w:hAnsi="宋体" w:eastAsia="宋体" w:cs="宋体"/>
          <w:snapToGrid w:val="0"/>
          <w:color w:val="000000" w:themeColor="text1"/>
          <w:sz w:val="24"/>
          <w:szCs w:val="24"/>
          <w14:textFill>
            <w14:solidFill>
              <w14:schemeClr w14:val="tx1"/>
            </w14:solidFill>
          </w14:textFill>
        </w:rPr>
        <w:t>。</w:t>
      </w:r>
    </w:p>
    <w:p w14:paraId="6F2EC608">
      <w:pPr>
        <w:keepNext/>
        <w:keepLines/>
        <w:pageBreakBefore w:val="0"/>
        <w:widowControl w:val="0"/>
        <w:numPr>
          <w:ilvl w:val="0"/>
          <w:numId w:val="40"/>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eastAsia="宋体" w:cs="宋体"/>
          <w:b/>
          <w:bCs/>
          <w:snapToGrid w:val="0"/>
          <w:color w:val="000000" w:themeColor="text1"/>
          <w:sz w:val="24"/>
          <w:szCs w:val="24"/>
          <w14:textFill>
            <w14:solidFill>
              <w14:schemeClr w14:val="tx1"/>
            </w14:solidFill>
          </w14:textFill>
        </w:rPr>
      </w:pPr>
      <w:bookmarkStart w:id="308" w:name="_Toc11052"/>
      <w:bookmarkStart w:id="309" w:name="_Toc9500"/>
      <w:bookmarkStart w:id="310" w:name="_Toc30817"/>
      <w:bookmarkStart w:id="311" w:name="_Toc11934"/>
      <w:bookmarkStart w:id="312" w:name="_Toc28733"/>
      <w:bookmarkStart w:id="313" w:name="_Toc19447"/>
      <w:bookmarkStart w:id="314" w:name="_Toc341124904"/>
      <w:bookmarkStart w:id="315" w:name="_Toc30774"/>
      <w:bookmarkStart w:id="316" w:name="_Toc30780"/>
      <w:bookmarkStart w:id="317" w:name="_Toc21252"/>
      <w:r>
        <w:rPr>
          <w:rFonts w:hint="eastAsia" w:ascii="宋体" w:hAnsi="宋体" w:eastAsia="宋体" w:cs="宋体"/>
          <w:b/>
          <w:bCs/>
          <w:snapToGrid w:val="0"/>
          <w:color w:val="000000" w:themeColor="text1"/>
          <w:sz w:val="24"/>
          <w:szCs w:val="24"/>
          <w14:textFill>
            <w14:solidFill>
              <w14:schemeClr w14:val="tx1"/>
            </w14:solidFill>
          </w14:textFill>
        </w:rPr>
        <w:t>工程概况</w:t>
      </w:r>
      <w:bookmarkEnd w:id="308"/>
      <w:bookmarkEnd w:id="309"/>
      <w:bookmarkEnd w:id="310"/>
      <w:bookmarkEnd w:id="311"/>
      <w:bookmarkEnd w:id="312"/>
      <w:bookmarkEnd w:id="313"/>
      <w:bookmarkEnd w:id="314"/>
      <w:bookmarkEnd w:id="315"/>
      <w:bookmarkEnd w:id="316"/>
      <w:bookmarkEnd w:id="317"/>
    </w:p>
    <w:p w14:paraId="0D4ABF48">
      <w:pPr>
        <w:keepNext w:val="0"/>
        <w:keepLines w:val="0"/>
        <w:pageBreakBefore w:val="0"/>
        <w:widowControl w:val="0"/>
        <w:numPr>
          <w:ilvl w:val="0"/>
          <w:numId w:val="41"/>
        </w:numPr>
        <w:tabs>
          <w:tab w:val="left" w:pos="851"/>
        </w:tabs>
        <w:kinsoku/>
        <w:wordWrap/>
        <w:overflowPunct/>
        <w:topLinePunct w:val="0"/>
        <w:autoSpaceDE/>
        <w:autoSpaceDN/>
        <w:bidi w:val="0"/>
        <w:adjustRightInd/>
        <w:snapToGrid/>
        <w:spacing w:line="300" w:lineRule="auto"/>
        <w:ind w:left="850" w:hanging="425"/>
        <w:textAlignment w:val="auto"/>
        <w:rPr>
          <w:rFonts w:hint="eastAsia" w:ascii="宋体" w:hAnsi="宋体" w:eastAsia="宋体" w:cs="宋体"/>
          <w:b w:val="0"/>
          <w:bCs/>
          <w:snapToGrid w:val="0"/>
          <w:color w:val="000000" w:themeColor="text1"/>
          <w:sz w:val="24"/>
          <w:szCs w:val="24"/>
          <w14:textFill>
            <w14:solidFill>
              <w14:schemeClr w14:val="tx1"/>
            </w14:solidFill>
          </w14:textFill>
        </w:rPr>
      </w:pPr>
      <w:r>
        <w:rPr>
          <w:rFonts w:hint="eastAsia" w:ascii="宋体" w:hAnsi="宋体" w:cs="宋体"/>
          <w:b w:val="0"/>
          <w:bCs/>
          <w:snapToGrid w:val="0"/>
          <w:color w:val="000000" w:themeColor="text1"/>
          <w:sz w:val="24"/>
          <w:szCs w:val="24"/>
          <w:lang w:val="en-US" w:eastAsia="zh-CN"/>
          <w14:textFill>
            <w14:solidFill>
              <w14:schemeClr w14:val="tx1"/>
            </w14:solidFill>
          </w14:textFill>
        </w:rPr>
        <w:t>工程</w:t>
      </w:r>
      <w:r>
        <w:rPr>
          <w:rFonts w:hint="eastAsia" w:ascii="宋体" w:hAnsi="宋体" w:eastAsia="宋体" w:cs="宋体"/>
          <w:b w:val="0"/>
          <w:bCs/>
          <w:snapToGrid w:val="0"/>
          <w:color w:val="000000" w:themeColor="text1"/>
          <w:sz w:val="24"/>
          <w:szCs w:val="24"/>
          <w14:textFill>
            <w14:solidFill>
              <w14:schemeClr w14:val="tx1"/>
            </w14:solidFill>
          </w14:textFill>
        </w:rPr>
        <w:t>名称：</w:t>
      </w:r>
      <w:r>
        <w:rPr>
          <w:rFonts w:hint="eastAsia" w:ascii="宋体" w:hAnsi="宋体" w:eastAsia="宋体" w:cs="宋体"/>
          <w:b w:val="0"/>
          <w:bCs/>
          <w:snapToGrid w:val="0"/>
          <w:color w:val="000000" w:themeColor="text1"/>
          <w:sz w:val="24"/>
          <w:szCs w:val="24"/>
          <w:u w:val="single"/>
          <w:lang w:eastAsia="zh-CN"/>
          <w14:textFill>
            <w14:solidFill>
              <w14:schemeClr w14:val="tx1"/>
            </w14:solidFill>
          </w14:textFill>
        </w:rPr>
        <w:t>重庆海联职业技术学院两江校区项目</w:t>
      </w:r>
      <w:r>
        <w:rPr>
          <w:rFonts w:hint="eastAsia" w:ascii="宋体" w:hAnsi="宋体" w:cs="宋体"/>
          <w:b w:val="0"/>
          <w:bCs/>
          <w:snapToGrid w:val="0"/>
          <w:color w:val="000000" w:themeColor="text1"/>
          <w:sz w:val="24"/>
          <w:szCs w:val="24"/>
          <w:u w:val="single"/>
          <w:lang w:val="en-US" w:eastAsia="zh-CN"/>
          <w14:textFill>
            <w14:solidFill>
              <w14:schemeClr w14:val="tx1"/>
            </w14:solidFill>
          </w14:textFill>
        </w:rPr>
        <w:t>监理咨询服务</w:t>
      </w:r>
      <w:r>
        <w:rPr>
          <w:rFonts w:hint="eastAsia" w:ascii="宋体" w:hAnsi="宋体" w:eastAsia="宋体" w:cs="宋体"/>
          <w:b w:val="0"/>
          <w:bCs/>
          <w:snapToGrid w:val="0"/>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b w:val="0"/>
          <w:bCs/>
          <w:snapToGrid w:val="0"/>
          <w:color w:val="000000" w:themeColor="text1"/>
          <w:sz w:val="24"/>
          <w:szCs w:val="24"/>
          <w14:textFill>
            <w14:solidFill>
              <w14:schemeClr w14:val="tx1"/>
            </w14:solidFill>
          </w14:textFill>
        </w:rPr>
        <w:t>；</w:t>
      </w:r>
    </w:p>
    <w:p w14:paraId="2A492AEA">
      <w:pPr>
        <w:keepNext w:val="0"/>
        <w:keepLines w:val="0"/>
        <w:pageBreakBefore w:val="0"/>
        <w:widowControl w:val="0"/>
        <w:numPr>
          <w:ilvl w:val="0"/>
          <w:numId w:val="41"/>
        </w:numPr>
        <w:tabs>
          <w:tab w:val="left" w:pos="851"/>
        </w:tabs>
        <w:kinsoku/>
        <w:wordWrap/>
        <w:overflowPunct/>
        <w:topLinePunct w:val="0"/>
        <w:autoSpaceDE/>
        <w:autoSpaceDN/>
        <w:bidi w:val="0"/>
        <w:adjustRightInd/>
        <w:snapToGrid/>
        <w:spacing w:line="300" w:lineRule="auto"/>
        <w:ind w:left="850" w:hanging="425"/>
        <w:textAlignment w:val="auto"/>
        <w:rPr>
          <w:rFonts w:hint="eastAsia" w:ascii="宋体" w:hAnsi="宋体" w:eastAsia="宋体" w:cs="宋体"/>
          <w:b w:val="0"/>
          <w:bCs/>
          <w:snapToGrid w:val="0"/>
          <w:color w:val="000000" w:themeColor="text1"/>
          <w:sz w:val="24"/>
          <w:szCs w:val="24"/>
          <w14:textFill>
            <w14:solidFill>
              <w14:schemeClr w14:val="tx1"/>
            </w14:solidFill>
          </w14:textFill>
        </w:rPr>
      </w:pPr>
      <w:r>
        <w:rPr>
          <w:rFonts w:hint="eastAsia" w:ascii="宋体" w:hAnsi="宋体" w:cs="宋体"/>
          <w:b w:val="0"/>
          <w:bCs/>
          <w:snapToGrid w:val="0"/>
          <w:color w:val="000000" w:themeColor="text1"/>
          <w:sz w:val="24"/>
          <w:szCs w:val="24"/>
          <w:lang w:val="en-US" w:eastAsia="zh-CN"/>
          <w14:textFill>
            <w14:solidFill>
              <w14:schemeClr w14:val="tx1"/>
            </w14:solidFill>
          </w14:textFill>
        </w:rPr>
        <w:t>工程</w:t>
      </w:r>
      <w:r>
        <w:rPr>
          <w:rFonts w:hint="eastAsia" w:ascii="宋体" w:hAnsi="宋体" w:eastAsia="宋体" w:cs="宋体"/>
          <w:b w:val="0"/>
          <w:bCs/>
          <w:snapToGrid w:val="0"/>
          <w:color w:val="000000" w:themeColor="text1"/>
          <w:sz w:val="24"/>
          <w:szCs w:val="24"/>
          <w14:textFill>
            <w14:solidFill>
              <w14:schemeClr w14:val="tx1"/>
            </w14:solidFill>
          </w14:textFill>
        </w:rPr>
        <w:t>地点</w:t>
      </w:r>
      <w:r>
        <w:rPr>
          <w:rFonts w:hint="eastAsia" w:ascii="宋体" w:hAnsi="宋体" w:eastAsia="宋体" w:cs="宋体"/>
          <w:b w:val="0"/>
          <w:bCs/>
          <w:snapToGrid w:val="0"/>
          <w:color w:val="000000" w:themeColor="text1"/>
          <w:sz w:val="24"/>
          <w:szCs w:val="24"/>
          <w:lang w:eastAsia="zh-CN"/>
          <w14:textFill>
            <w14:solidFill>
              <w14:schemeClr w14:val="tx1"/>
            </w14:solidFill>
          </w14:textFill>
        </w:rPr>
        <w:t>：</w:t>
      </w:r>
      <w:r>
        <w:rPr>
          <w:rFonts w:hint="eastAsia" w:ascii="宋体" w:hAnsi="宋体" w:eastAsia="宋体" w:cs="宋体"/>
          <w:b w:val="0"/>
          <w:bCs/>
          <w:snapToGrid w:val="0"/>
          <w:color w:val="000000" w:themeColor="text1"/>
          <w:sz w:val="24"/>
          <w:szCs w:val="24"/>
          <w:u w:val="single"/>
          <w:lang w:val="en-US" w:eastAsia="zh-CN"/>
          <w14:textFill>
            <w14:solidFill>
              <w14:schemeClr w14:val="tx1"/>
            </w14:solidFill>
          </w14:textFill>
        </w:rPr>
        <w:t>重庆两江新区龙兴工业园两江大道北延段（龙兴V组团标准分区V10-1/01）</w:t>
      </w:r>
      <w:r>
        <w:rPr>
          <w:rFonts w:hint="eastAsia" w:ascii="宋体" w:hAnsi="宋体" w:eastAsia="宋体" w:cs="宋体"/>
          <w:b w:val="0"/>
          <w:bCs/>
          <w:snapToGrid w:val="0"/>
          <w:color w:val="000000" w:themeColor="text1"/>
          <w:sz w:val="24"/>
          <w:szCs w:val="24"/>
          <w14:textFill>
            <w14:solidFill>
              <w14:schemeClr w14:val="tx1"/>
            </w14:solidFill>
          </w14:textFill>
        </w:rPr>
        <w:t>；</w:t>
      </w:r>
    </w:p>
    <w:p w14:paraId="37FEF34A">
      <w:pPr>
        <w:keepNext w:val="0"/>
        <w:keepLines w:val="0"/>
        <w:pageBreakBefore w:val="0"/>
        <w:widowControl w:val="0"/>
        <w:numPr>
          <w:ilvl w:val="0"/>
          <w:numId w:val="41"/>
        </w:numPr>
        <w:tabs>
          <w:tab w:val="left" w:pos="851"/>
        </w:tabs>
        <w:kinsoku/>
        <w:wordWrap/>
        <w:overflowPunct/>
        <w:topLinePunct w:val="0"/>
        <w:autoSpaceDE/>
        <w:autoSpaceDN/>
        <w:bidi w:val="0"/>
        <w:adjustRightInd/>
        <w:snapToGrid/>
        <w:spacing w:line="300" w:lineRule="auto"/>
        <w:ind w:left="850" w:hanging="425"/>
        <w:textAlignment w:val="auto"/>
        <w:rPr>
          <w:rFonts w:hint="eastAsia" w:ascii="宋体" w:hAnsi="宋体" w:eastAsia="宋体" w:cs="宋体"/>
          <w:b w:val="0"/>
          <w:bCs/>
          <w:snapToGrid w:val="0"/>
          <w:color w:val="000000" w:themeColor="text1"/>
          <w:sz w:val="24"/>
          <w:szCs w:val="24"/>
          <w14:textFill>
            <w14:solidFill>
              <w14:schemeClr w14:val="tx1"/>
            </w14:solidFill>
          </w14:textFill>
        </w:rPr>
      </w:pPr>
      <w:r>
        <w:rPr>
          <w:rFonts w:hint="eastAsia" w:ascii="宋体" w:hAnsi="宋体" w:eastAsia="宋体" w:cs="宋体"/>
          <w:b w:val="0"/>
          <w:bCs/>
          <w:snapToGrid w:val="0"/>
          <w:color w:val="000000" w:themeColor="text1"/>
          <w:sz w:val="24"/>
          <w:szCs w:val="24"/>
          <w14:textFill>
            <w14:solidFill>
              <w14:schemeClr w14:val="tx1"/>
            </w14:solidFill>
          </w14:textFill>
        </w:rPr>
        <w:t>建筑规模：</w:t>
      </w:r>
      <w:r>
        <w:rPr>
          <w:rFonts w:hint="eastAsia" w:ascii="宋体" w:hAnsi="宋体" w:cs="宋体"/>
          <w:b w:val="0"/>
          <w:bCs/>
          <w:snapToGrid w:val="0"/>
          <w:color w:val="000000" w:themeColor="text1"/>
          <w:sz w:val="24"/>
          <w:szCs w:val="24"/>
          <w:u w:val="single"/>
          <w:lang w:val="en-US" w:eastAsia="zh-CN"/>
          <w14:textFill>
            <w14:solidFill>
              <w14:schemeClr w14:val="tx1"/>
            </w14:solidFill>
          </w14:textFill>
        </w:rPr>
        <w:t>约14000</w:t>
      </w:r>
      <w:r>
        <w:rPr>
          <w:rFonts w:hint="eastAsia" w:ascii="宋体" w:hAnsi="宋体" w:cs="宋体"/>
          <w:b w:val="0"/>
          <w:bCs/>
          <w:snapToGrid w:val="0"/>
          <w:color w:val="000000" w:themeColor="text1"/>
          <w:sz w:val="24"/>
          <w:szCs w:val="24"/>
          <w:highlight w:val="none"/>
          <w:u w:val="single"/>
          <w:lang w:val="en-US" w:eastAsia="zh-CN"/>
          <w14:textFill>
            <w14:solidFill>
              <w14:schemeClr w14:val="tx1"/>
            </w14:solidFill>
          </w14:textFill>
        </w:rPr>
        <w:t>0.00</w:t>
      </w:r>
      <w:r>
        <w:rPr>
          <w:rFonts w:hint="eastAsia" w:ascii="宋体" w:hAnsi="宋体" w:eastAsia="宋体" w:cs="宋体"/>
          <w:b w:val="0"/>
          <w:bCs/>
          <w:snapToGrid w:val="0"/>
          <w:color w:val="000000" w:themeColor="text1"/>
          <w:sz w:val="24"/>
          <w:szCs w:val="24"/>
          <w:highlight w:val="none"/>
          <w:u w:val="single"/>
          <w:lang w:val="en-US" w:eastAsia="zh-CN"/>
          <w14:textFill>
            <w14:solidFill>
              <w14:schemeClr w14:val="tx1"/>
            </w14:solidFill>
          </w14:textFill>
        </w:rPr>
        <w:t>m²</w:t>
      </w:r>
      <w:r>
        <w:rPr>
          <w:rFonts w:hint="eastAsia" w:ascii="宋体" w:hAnsi="宋体" w:eastAsia="宋体" w:cs="宋体"/>
          <w:b w:val="0"/>
          <w:bCs/>
          <w:snapToGrid w:val="0"/>
          <w:color w:val="000000" w:themeColor="text1"/>
          <w:sz w:val="24"/>
          <w:szCs w:val="24"/>
          <w:highlight w:val="none"/>
          <w:lang w:eastAsia="zh-CN"/>
          <w14:textFill>
            <w14:solidFill>
              <w14:schemeClr w14:val="tx1"/>
            </w14:solidFill>
          </w14:textFill>
        </w:rPr>
        <w:t>。</w:t>
      </w:r>
    </w:p>
    <w:p w14:paraId="64C0C04A">
      <w:pPr>
        <w:keepNext w:val="0"/>
        <w:keepLines w:val="0"/>
        <w:pageBreakBefore w:val="0"/>
        <w:widowControl w:val="0"/>
        <w:numPr>
          <w:ilvl w:val="0"/>
          <w:numId w:val="41"/>
        </w:numPr>
        <w:tabs>
          <w:tab w:val="left" w:pos="851"/>
        </w:tabs>
        <w:kinsoku/>
        <w:wordWrap/>
        <w:overflowPunct/>
        <w:topLinePunct w:val="0"/>
        <w:autoSpaceDE/>
        <w:autoSpaceDN/>
        <w:bidi w:val="0"/>
        <w:adjustRightInd/>
        <w:snapToGrid/>
        <w:spacing w:line="300" w:lineRule="auto"/>
        <w:ind w:left="850" w:hanging="425"/>
        <w:textAlignment w:val="auto"/>
        <w:rPr>
          <w:rFonts w:hint="eastAsia" w:ascii="宋体" w:hAnsi="宋体" w:eastAsia="宋体" w:cs="宋体"/>
          <w:b w:val="0"/>
          <w:bCs/>
          <w:snapToGrid w:val="0"/>
          <w:color w:val="000000" w:themeColor="text1"/>
          <w:sz w:val="24"/>
          <w:szCs w:val="24"/>
          <w14:textFill>
            <w14:solidFill>
              <w14:schemeClr w14:val="tx1"/>
            </w14:solidFill>
          </w14:textFill>
        </w:rPr>
      </w:pPr>
      <w:bookmarkStart w:id="318" w:name="_Toc27987"/>
      <w:bookmarkStart w:id="319" w:name="_Toc25018"/>
      <w:bookmarkStart w:id="320" w:name="_Toc4068"/>
      <w:bookmarkStart w:id="321" w:name="_Toc22493"/>
      <w:bookmarkStart w:id="322" w:name="_Toc341124905"/>
      <w:r>
        <w:rPr>
          <w:rFonts w:hint="eastAsia" w:ascii="宋体" w:hAnsi="宋体" w:eastAsia="宋体" w:cs="宋体"/>
          <w:b w:val="0"/>
          <w:bCs/>
          <w:snapToGrid w:val="0"/>
          <w:color w:val="000000" w:themeColor="text1"/>
          <w:sz w:val="24"/>
          <w:szCs w:val="24"/>
          <w14:textFill>
            <w14:solidFill>
              <w14:schemeClr w14:val="tx1"/>
            </w14:solidFill>
          </w14:textFill>
        </w:rPr>
        <w:t>承包范围</w:t>
      </w:r>
      <w:bookmarkEnd w:id="318"/>
      <w:bookmarkEnd w:id="319"/>
      <w:bookmarkEnd w:id="320"/>
      <w:bookmarkEnd w:id="321"/>
      <w:bookmarkEnd w:id="322"/>
      <w:r>
        <w:rPr>
          <w:rFonts w:hint="eastAsia" w:ascii="宋体" w:hAnsi="宋体" w:eastAsia="宋体" w:cs="宋体"/>
          <w:b w:val="0"/>
          <w:bCs/>
          <w:snapToGrid w:val="0"/>
          <w:color w:val="000000" w:themeColor="text1"/>
          <w:sz w:val="24"/>
          <w:szCs w:val="24"/>
          <w:lang w:eastAsia="zh-CN"/>
          <w14:textFill>
            <w14:solidFill>
              <w14:schemeClr w14:val="tx1"/>
            </w14:solidFill>
          </w14:textFill>
        </w:rPr>
        <w:t>：</w:t>
      </w:r>
      <w:r>
        <w:rPr>
          <w:rFonts w:hint="eastAsia" w:ascii="宋体" w:hAnsi="宋体" w:eastAsia="宋体" w:cs="宋体"/>
          <w:b w:val="0"/>
          <w:bCs/>
          <w:snapToGrid w:val="0"/>
          <w:color w:val="000000" w:themeColor="text1"/>
          <w:sz w:val="24"/>
          <w:szCs w:val="24"/>
          <w:lang w:val="en-US" w:eastAsia="zh-CN"/>
          <w14:textFill>
            <w14:solidFill>
              <w14:schemeClr w14:val="tx1"/>
            </w14:solidFill>
          </w14:textFill>
        </w:rPr>
        <w:t>建设用地红线内所含全部内容的建设监理，包括围墙、边坡挡墙、土石方、结构加固、土建及其附属工程、机电(包括给排水、消防、电气、弱电智能化)、精装修、景观绿化、室外总体(包括室外管网、小区道路、运动场)等图纸范围内所有工程在施工阶段的质量、进度、造价控制，安全生产管理和合同管理、信息管理、组织协调的全过程监理服务工作，还包括甲供设备、材料和工程保修期内、免费服务期内监理应承担的服务内容以及委托人需要时要求的工程、设备、材料招标协助工作等所有服务内容。以上描述的监理范围仅是概括性的，不能认为是完整无缺的。</w:t>
      </w:r>
    </w:p>
    <w:p w14:paraId="363E89B1">
      <w:pPr>
        <w:keepNext w:val="0"/>
        <w:keepLines w:val="0"/>
        <w:pageBreakBefore w:val="0"/>
        <w:widowControl w:val="0"/>
        <w:kinsoku/>
        <w:wordWrap/>
        <w:overflowPunct/>
        <w:topLinePunct w:val="0"/>
        <w:autoSpaceDE/>
        <w:autoSpaceDN/>
        <w:bidi w:val="0"/>
        <w:adjustRightInd w:val="0"/>
        <w:snapToGrid w:val="0"/>
        <w:spacing w:before="63" w:beforeLines="20" w:after="63" w:afterLines="20" w:line="300" w:lineRule="auto"/>
        <w:ind w:left="840" w:leftChars="400"/>
        <w:textAlignment w:val="auto"/>
        <w:rPr>
          <w:rFonts w:hint="eastAsia" w:ascii="宋体" w:hAnsi="宋体" w:cs="宋体"/>
          <w:snapToGrid w:val="0"/>
          <w:sz w:val="24"/>
          <w:szCs w:val="24"/>
          <w:lang w:eastAsia="zh-CN"/>
        </w:rPr>
      </w:pPr>
      <w:r>
        <w:rPr>
          <w:rFonts w:hint="eastAsia" w:ascii="宋体" w:hAnsi="宋体" w:eastAsia="宋体" w:cs="宋体"/>
          <w:color w:val="000000"/>
          <w:sz w:val="24"/>
          <w:szCs w:val="24"/>
          <w:highlight w:val="none"/>
        </w:rPr>
        <w:t>注：以上实施内容均为暂定，最终实施范围及工程量，以工程实施中委托人确认的工程实施范围及工程量为准。</w:t>
      </w:r>
    </w:p>
    <w:p w14:paraId="5119A554">
      <w:pPr>
        <w:keepNext/>
        <w:keepLines/>
        <w:pageBreakBefore w:val="0"/>
        <w:widowControl w:val="0"/>
        <w:numPr>
          <w:ilvl w:val="0"/>
          <w:numId w:val="40"/>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323" w:name="_Toc32090"/>
      <w:bookmarkStart w:id="324" w:name="_Toc16968"/>
      <w:r>
        <w:rPr>
          <w:rFonts w:hint="eastAsia" w:ascii="宋体" w:hAnsi="宋体" w:cs="宋体"/>
          <w:b/>
          <w:bCs/>
          <w:snapToGrid w:val="0"/>
          <w:color w:val="000000" w:themeColor="text1"/>
          <w:sz w:val="24"/>
          <w:szCs w:val="24"/>
          <w:lang w:val="en-US" w:eastAsia="zh-CN"/>
          <w14:textFill>
            <w14:solidFill>
              <w14:schemeClr w14:val="tx1"/>
            </w14:solidFill>
          </w14:textFill>
        </w:rPr>
        <w:t>服务期限</w:t>
      </w:r>
      <w:bookmarkEnd w:id="323"/>
      <w:bookmarkEnd w:id="324"/>
    </w:p>
    <w:p w14:paraId="79B2B384">
      <w:pPr>
        <w:keepNext w:val="0"/>
        <w:keepLines w:val="0"/>
        <w:pageBreakBefore w:val="0"/>
        <w:widowControl w:val="0"/>
        <w:numPr>
          <w:ilvl w:val="0"/>
          <w:numId w:val="42"/>
        </w:numPr>
        <w:tabs>
          <w:tab w:val="left" w:pos="851"/>
        </w:tabs>
        <w:kinsoku/>
        <w:wordWrap/>
        <w:overflowPunct/>
        <w:topLinePunct w:val="0"/>
        <w:autoSpaceDE/>
        <w:autoSpaceDN/>
        <w:bidi w:val="0"/>
        <w:adjustRightInd/>
        <w:snapToGrid/>
        <w:spacing w:line="300" w:lineRule="auto"/>
        <w:ind w:left="850" w:hanging="425"/>
        <w:textAlignment w:val="auto"/>
        <w:rPr>
          <w:rFonts w:hint="eastAsia" w:ascii="宋体" w:hAnsi="宋体" w:eastAsia="宋体" w:cs="宋体"/>
          <w:b w:val="0"/>
          <w:bCs/>
          <w:snapToGrid w:val="0"/>
          <w:color w:val="000000" w:themeColor="text1"/>
          <w:sz w:val="24"/>
          <w:szCs w:val="24"/>
          <w:lang w:val="en-US" w:eastAsia="zh-CN"/>
          <w14:textFill>
            <w14:solidFill>
              <w14:schemeClr w14:val="tx1"/>
            </w14:solidFill>
          </w14:textFill>
        </w:rPr>
      </w:pPr>
      <w:bookmarkStart w:id="325" w:name="_Toc10805"/>
      <w:bookmarkStart w:id="326" w:name="_Toc24906"/>
      <w:bookmarkStart w:id="327" w:name="_Toc26482"/>
      <w:bookmarkStart w:id="328" w:name="_Toc7789"/>
      <w:bookmarkStart w:id="329" w:name="_Toc29760"/>
      <w:bookmarkStart w:id="330" w:name="_Toc24954"/>
      <w:r>
        <w:rPr>
          <w:rFonts w:hint="eastAsia" w:ascii="宋体" w:hAnsi="宋体" w:eastAsia="宋体" w:cs="宋体"/>
          <w:b w:val="0"/>
          <w:bCs/>
          <w:snapToGrid w:val="0"/>
          <w:color w:val="000000" w:themeColor="text1"/>
          <w:sz w:val="24"/>
          <w:szCs w:val="24"/>
          <w:lang w:val="en-US" w:eastAsia="zh-CN"/>
          <w14:textFill>
            <w14:solidFill>
              <w14:schemeClr w14:val="tx1"/>
            </w14:solidFill>
          </w14:textFill>
        </w:rPr>
        <w:t>总服务期限</w:t>
      </w:r>
      <w:r>
        <w:rPr>
          <w:rFonts w:hint="eastAsia" w:ascii="宋体" w:hAnsi="宋体" w:eastAsia="宋体" w:cs="宋体"/>
          <w:b w:val="0"/>
          <w:bCs/>
          <w:snapToGrid w:val="0"/>
          <w:color w:val="000000" w:themeColor="text1"/>
          <w:sz w:val="24"/>
          <w:szCs w:val="24"/>
          <w:u w:val="single"/>
          <w:lang w:val="en-US" w:eastAsia="zh-CN"/>
          <w14:textFill>
            <w14:solidFill>
              <w14:schemeClr w14:val="tx1"/>
            </w14:solidFill>
          </w14:textFill>
        </w:rPr>
        <w:t>18个月</w:t>
      </w:r>
      <w:r>
        <w:rPr>
          <w:rFonts w:hint="eastAsia" w:ascii="宋体" w:hAnsi="宋体" w:eastAsia="宋体" w:cs="宋体"/>
          <w:b w:val="0"/>
          <w:bCs/>
          <w:snapToGrid w:val="0"/>
          <w:color w:val="000000" w:themeColor="text1"/>
          <w:sz w:val="24"/>
          <w:szCs w:val="24"/>
          <w:lang w:val="en-US" w:eastAsia="zh-CN"/>
          <w14:textFill>
            <w14:solidFill>
              <w14:schemeClr w14:val="tx1"/>
            </w14:solidFill>
          </w14:textFill>
        </w:rPr>
        <w:t>，自</w:t>
      </w:r>
      <w:r>
        <w:rPr>
          <w:rFonts w:hint="eastAsia" w:ascii="宋体" w:hAnsi="宋体" w:eastAsia="宋体" w:cs="宋体"/>
          <w:b w:val="0"/>
          <w:bCs/>
          <w:snapToGrid w:val="0"/>
          <w:color w:val="000000" w:themeColor="text1"/>
          <w:sz w:val="24"/>
          <w:szCs w:val="24"/>
          <w:u w:val="single"/>
          <w:lang w:val="en-US" w:eastAsia="zh-CN"/>
          <w14:textFill>
            <w14:solidFill>
              <w14:schemeClr w14:val="tx1"/>
            </w14:solidFill>
          </w14:textFill>
        </w:rPr>
        <w:t>2024年12月20日开始至2026年6月20日</w:t>
      </w:r>
      <w:r>
        <w:rPr>
          <w:rFonts w:hint="eastAsia" w:ascii="宋体" w:hAnsi="宋体" w:eastAsia="宋体" w:cs="宋体"/>
          <w:b w:val="0"/>
          <w:bCs/>
          <w:snapToGrid w:val="0"/>
          <w:color w:val="000000" w:themeColor="text1"/>
          <w:sz w:val="24"/>
          <w:szCs w:val="24"/>
          <w:lang w:val="en-US" w:eastAsia="zh-CN"/>
          <w14:textFill>
            <w14:solidFill>
              <w14:schemeClr w14:val="tx1"/>
            </w14:solidFill>
          </w14:textFill>
        </w:rPr>
        <w:t>结束，缺陷责任期2年。</w:t>
      </w:r>
    </w:p>
    <w:p w14:paraId="462DD99C">
      <w:pPr>
        <w:keepNext w:val="0"/>
        <w:keepLines w:val="0"/>
        <w:pageBreakBefore w:val="0"/>
        <w:widowControl w:val="0"/>
        <w:kinsoku/>
        <w:wordWrap/>
        <w:overflowPunct/>
        <w:topLinePunct w:val="0"/>
        <w:autoSpaceDE/>
        <w:autoSpaceDN/>
        <w:bidi w:val="0"/>
        <w:adjustRightInd w:val="0"/>
        <w:snapToGrid w:val="0"/>
        <w:spacing w:before="63" w:beforeLines="20" w:after="63" w:afterLines="20" w:line="300" w:lineRule="auto"/>
        <w:ind w:left="840" w:leftChars="4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包含开工前的现场准备工作至完成项目施工阶段监理及工程竣工交付使用、竣工结算（含配合审计工作）、缺陷责任期期间的监理工作所需要的时间周期；其中本项目施工期暂定为</w:t>
      </w:r>
      <w:r>
        <w:rPr>
          <w:rFonts w:hint="eastAsia" w:ascii="宋体" w:hAnsi="宋体" w:eastAsia="宋体" w:cs="宋体"/>
          <w:color w:val="000000"/>
          <w:sz w:val="24"/>
          <w:szCs w:val="24"/>
          <w:highlight w:val="none"/>
          <w:lang w:val="en-US" w:eastAsia="zh-CN"/>
        </w:rPr>
        <w:t>18个月</w:t>
      </w:r>
      <w:r>
        <w:rPr>
          <w:rFonts w:hint="eastAsia" w:ascii="宋体" w:hAnsi="宋体" w:eastAsia="宋体" w:cs="宋体"/>
          <w:color w:val="000000"/>
          <w:sz w:val="24"/>
          <w:szCs w:val="24"/>
          <w:highlight w:val="none"/>
        </w:rPr>
        <w:t>；缺陷责任期24个月。监理服务期以委托人书面进场通知（或第一次工作会）为监理服务期的起始时间，以完成</w:t>
      </w:r>
      <w:r>
        <w:rPr>
          <w:rFonts w:hint="eastAsia" w:ascii="宋体" w:hAnsi="宋体" w:eastAsia="宋体" w:cs="宋体"/>
          <w:color w:val="000000"/>
          <w:sz w:val="24"/>
          <w:szCs w:val="24"/>
          <w:highlight w:val="none"/>
          <w:lang w:val="en-US" w:eastAsia="zh-CN"/>
        </w:rPr>
        <w:t>施工准备阶段、</w:t>
      </w:r>
      <w:r>
        <w:rPr>
          <w:rFonts w:hint="eastAsia" w:ascii="宋体" w:hAnsi="宋体" w:eastAsia="宋体" w:cs="宋体"/>
          <w:color w:val="000000"/>
          <w:sz w:val="24"/>
          <w:szCs w:val="24"/>
          <w:highlight w:val="none"/>
        </w:rPr>
        <w:t>施工阶段监理、工程竣工验收合格、监理资料移交完成、缺陷责任期（竣工验收合格后24个月）满后为监理服务期完成时间。</w:t>
      </w:r>
    </w:p>
    <w:p w14:paraId="77400261">
      <w:pPr>
        <w:keepNext w:val="0"/>
        <w:keepLines w:val="0"/>
        <w:pageBreakBefore w:val="0"/>
        <w:widowControl w:val="0"/>
        <w:kinsoku/>
        <w:wordWrap/>
        <w:overflowPunct/>
        <w:topLinePunct w:val="0"/>
        <w:autoSpaceDE/>
        <w:autoSpaceDN/>
        <w:bidi w:val="0"/>
        <w:adjustRightInd w:val="0"/>
        <w:snapToGrid w:val="0"/>
        <w:spacing w:before="63" w:beforeLines="20" w:after="63" w:afterLines="20" w:line="300" w:lineRule="auto"/>
        <w:ind w:left="840" w:leftChars="4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监理人须根据委托人进度要求进行监理，以确保工程的质量、工期及施工进度目标得以实现，除委托人书面调整外，无论何种原因，工程预计竣工日期不变。</w:t>
      </w:r>
    </w:p>
    <w:p w14:paraId="58F12CDD">
      <w:pPr>
        <w:keepNext w:val="0"/>
        <w:keepLines w:val="0"/>
        <w:pageBreakBefore w:val="0"/>
        <w:widowControl w:val="0"/>
        <w:kinsoku/>
        <w:wordWrap/>
        <w:overflowPunct/>
        <w:topLinePunct w:val="0"/>
        <w:autoSpaceDE/>
        <w:autoSpaceDN/>
        <w:bidi w:val="0"/>
        <w:adjustRightInd w:val="0"/>
        <w:snapToGrid w:val="0"/>
        <w:spacing w:before="63" w:beforeLines="20" w:after="63" w:afterLines="20" w:line="300" w:lineRule="auto"/>
        <w:ind w:left="840" w:leftChars="4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如实际施工期迟于预计施工期在三个月之内，则监理单位同意不再增加延期监理服务酬金。如实际施工期迟于施工期在三个月以上，第四个月起由委托人支付额外监理报酬。</w:t>
      </w:r>
    </w:p>
    <w:p w14:paraId="66B19B8D">
      <w:pPr>
        <w:keepNext w:val="0"/>
        <w:keepLines w:val="0"/>
        <w:pageBreakBefore w:val="0"/>
        <w:widowControl w:val="0"/>
        <w:numPr>
          <w:ilvl w:val="0"/>
          <w:numId w:val="42"/>
        </w:numPr>
        <w:tabs>
          <w:tab w:val="left" w:pos="851"/>
        </w:tabs>
        <w:kinsoku/>
        <w:wordWrap/>
        <w:overflowPunct/>
        <w:topLinePunct w:val="0"/>
        <w:autoSpaceDE/>
        <w:autoSpaceDN/>
        <w:bidi w:val="0"/>
        <w:adjustRightInd/>
        <w:snapToGrid/>
        <w:spacing w:line="300" w:lineRule="auto"/>
        <w:ind w:left="850" w:hanging="425"/>
        <w:textAlignment w:val="auto"/>
        <w:rPr>
          <w:rFonts w:hint="eastAsia" w:ascii="宋体" w:hAnsi="宋体" w:eastAsia="宋体" w:cs="宋体"/>
          <w:b w:val="0"/>
          <w:bCs/>
          <w:snapToGrid w:val="0"/>
          <w:color w:val="000000" w:themeColor="text1"/>
          <w:sz w:val="24"/>
          <w:szCs w:val="24"/>
          <w:lang w:val="en-US" w:eastAsia="zh-CN"/>
          <w14:textFill>
            <w14:solidFill>
              <w14:schemeClr w14:val="tx1"/>
            </w14:solidFill>
          </w14:textFill>
        </w:rPr>
      </w:pPr>
      <w:r>
        <w:rPr>
          <w:rFonts w:hint="eastAsia" w:ascii="宋体" w:hAnsi="宋体" w:eastAsia="宋体" w:cs="宋体"/>
          <w:b w:val="0"/>
          <w:bCs/>
          <w:snapToGrid w:val="0"/>
          <w:color w:val="000000" w:themeColor="text1"/>
          <w:sz w:val="24"/>
          <w:szCs w:val="24"/>
          <w:lang w:val="en-US" w:eastAsia="zh-CN"/>
          <w14:textFill>
            <w14:solidFill>
              <w14:schemeClr w14:val="tx1"/>
            </w14:solidFill>
          </w14:textFill>
        </w:rPr>
        <w:t>相关服务期限：</w:t>
      </w:r>
    </w:p>
    <w:p w14:paraId="49933F46">
      <w:pPr>
        <w:pStyle w:val="162"/>
        <w:keepNext w:val="0"/>
        <w:keepLines w:val="0"/>
        <w:pageBreakBefore w:val="0"/>
        <w:widowControl w:val="0"/>
        <w:numPr>
          <w:ilvl w:val="0"/>
          <w:numId w:val="43"/>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eastAsia="宋体" w:cs="宋体"/>
          <w:snapToGrid w:val="0"/>
          <w:sz w:val="24"/>
          <w:szCs w:val="24"/>
          <w:u w:val="none"/>
          <w:lang w:eastAsia="zh-CN"/>
        </w:rPr>
      </w:pPr>
      <w:r>
        <w:rPr>
          <w:rFonts w:hint="eastAsia" w:ascii="宋体" w:hAnsi="宋体" w:eastAsia="宋体" w:cs="宋体"/>
          <w:snapToGrid w:val="0"/>
          <w:sz w:val="24"/>
          <w:szCs w:val="24"/>
          <w:lang w:eastAsia="zh-CN"/>
        </w:rPr>
        <w:t>勘察阶段服务期限 ：</w:t>
      </w:r>
      <w:r>
        <w:rPr>
          <w:rFonts w:hint="eastAsia" w:ascii="宋体" w:hAnsi="宋体" w:eastAsia="宋体" w:cs="宋体"/>
          <w:snapToGrid w:val="0"/>
          <w:sz w:val="24"/>
          <w:szCs w:val="24"/>
          <w:u w:val="single"/>
          <w:lang w:eastAsia="zh-CN"/>
        </w:rPr>
        <w:t>/</w:t>
      </w:r>
      <w:r>
        <w:rPr>
          <w:rFonts w:hint="eastAsia" w:ascii="宋体" w:hAnsi="宋体" w:eastAsia="宋体" w:cs="宋体"/>
          <w:snapToGrid w:val="0"/>
          <w:sz w:val="24"/>
          <w:szCs w:val="24"/>
          <w:u w:val="none"/>
          <w:lang w:eastAsia="zh-CN"/>
        </w:rPr>
        <w:t>；</w:t>
      </w:r>
    </w:p>
    <w:p w14:paraId="09CEBDF6">
      <w:pPr>
        <w:pStyle w:val="162"/>
        <w:keepNext w:val="0"/>
        <w:keepLines w:val="0"/>
        <w:pageBreakBefore w:val="0"/>
        <w:widowControl w:val="0"/>
        <w:numPr>
          <w:ilvl w:val="0"/>
          <w:numId w:val="43"/>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eastAsia="宋体" w:cs="宋体"/>
          <w:snapToGrid w:val="0"/>
          <w:sz w:val="24"/>
          <w:szCs w:val="24"/>
          <w:lang w:eastAsia="zh-CN"/>
        </w:rPr>
      </w:pPr>
      <w:r>
        <w:rPr>
          <w:rFonts w:hint="eastAsia" w:ascii="宋体" w:hAnsi="宋体" w:eastAsia="宋体" w:cs="宋体"/>
          <w:snapToGrid w:val="0"/>
          <w:sz w:val="24"/>
          <w:szCs w:val="24"/>
          <w:lang w:eastAsia="zh-CN"/>
        </w:rPr>
        <w:t>设计阶段服务期限 ：</w:t>
      </w:r>
      <w:r>
        <w:rPr>
          <w:rFonts w:hint="eastAsia" w:ascii="宋体" w:hAnsi="宋体" w:eastAsia="宋体" w:cs="宋体"/>
          <w:snapToGrid w:val="0"/>
          <w:sz w:val="24"/>
          <w:szCs w:val="24"/>
          <w:u w:val="single"/>
          <w:lang w:eastAsia="zh-CN"/>
        </w:rPr>
        <w:t>/</w:t>
      </w:r>
      <w:r>
        <w:rPr>
          <w:rFonts w:hint="eastAsia" w:ascii="宋体" w:hAnsi="宋体" w:eastAsia="宋体" w:cs="宋体"/>
          <w:snapToGrid w:val="0"/>
          <w:sz w:val="24"/>
          <w:szCs w:val="24"/>
          <w:u w:val="none"/>
          <w:lang w:eastAsia="zh-CN"/>
        </w:rPr>
        <w:t>；</w:t>
      </w:r>
      <w:r>
        <w:rPr>
          <w:rFonts w:hint="eastAsia" w:ascii="宋体" w:hAnsi="宋体" w:eastAsia="宋体" w:cs="宋体"/>
          <w:snapToGrid w:val="0"/>
          <w:sz w:val="24"/>
          <w:szCs w:val="24"/>
          <w:lang w:eastAsia="zh-CN"/>
        </w:rPr>
        <w:t>保修阶段服务期限：自工程竣工验收合格始，至24个月时止。</w:t>
      </w:r>
    </w:p>
    <w:p w14:paraId="49B492A1">
      <w:pPr>
        <w:pStyle w:val="162"/>
        <w:keepNext w:val="0"/>
        <w:keepLines w:val="0"/>
        <w:pageBreakBefore w:val="0"/>
        <w:widowControl w:val="0"/>
        <w:numPr>
          <w:ilvl w:val="0"/>
          <w:numId w:val="43"/>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snapToGrid w:val="0"/>
          <w:sz w:val="24"/>
          <w:szCs w:val="24"/>
          <w:lang w:eastAsia="zh-CN"/>
        </w:rPr>
        <w:t>其他相关服务期限 ：</w:t>
      </w:r>
      <w:r>
        <w:rPr>
          <w:rFonts w:hint="eastAsia" w:ascii="宋体" w:hAnsi="宋体" w:eastAsia="宋体" w:cs="宋体"/>
          <w:snapToGrid w:val="0"/>
          <w:sz w:val="24"/>
          <w:szCs w:val="24"/>
          <w:u w:val="single"/>
          <w:lang w:eastAsia="zh-CN"/>
        </w:rPr>
        <w:t>/</w:t>
      </w:r>
      <w:r>
        <w:rPr>
          <w:rFonts w:hint="eastAsia" w:ascii="宋体" w:hAnsi="宋体" w:eastAsia="宋体" w:cs="宋体"/>
          <w:snapToGrid w:val="0"/>
          <w:sz w:val="24"/>
          <w:szCs w:val="24"/>
          <w:u w:val="none"/>
          <w:lang w:eastAsia="zh-CN"/>
        </w:rPr>
        <w:t>。</w:t>
      </w:r>
    </w:p>
    <w:bookmarkEnd w:id="325"/>
    <w:bookmarkEnd w:id="326"/>
    <w:bookmarkEnd w:id="327"/>
    <w:bookmarkEnd w:id="328"/>
    <w:bookmarkEnd w:id="329"/>
    <w:bookmarkEnd w:id="330"/>
    <w:p w14:paraId="213394E7">
      <w:pPr>
        <w:keepNext/>
        <w:keepLines/>
        <w:pageBreakBefore w:val="0"/>
        <w:widowControl w:val="0"/>
        <w:numPr>
          <w:ilvl w:val="0"/>
          <w:numId w:val="40"/>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331" w:name="_Toc28910"/>
      <w:bookmarkStart w:id="332" w:name="_Toc341124907"/>
      <w:bookmarkStart w:id="333" w:name="_Toc22344"/>
      <w:bookmarkStart w:id="334" w:name="_Toc9347"/>
      <w:bookmarkStart w:id="335" w:name="_Toc17514"/>
      <w:bookmarkStart w:id="336" w:name="_Toc3078"/>
      <w:bookmarkStart w:id="337" w:name="_Toc10221"/>
      <w:bookmarkStart w:id="338" w:name="_Toc30876"/>
      <w:bookmarkStart w:id="339" w:name="_Toc28054"/>
      <w:bookmarkStart w:id="340" w:name="_Toc6776"/>
      <w:r>
        <w:rPr>
          <w:rFonts w:hint="eastAsia" w:ascii="宋体" w:hAnsi="宋体" w:cs="宋体"/>
          <w:b/>
          <w:bCs/>
          <w:snapToGrid w:val="0"/>
          <w:color w:val="000000" w:themeColor="text1"/>
          <w:sz w:val="24"/>
          <w:szCs w:val="24"/>
          <w:lang w:val="en-US" w:eastAsia="zh-CN"/>
          <w14:textFill>
            <w14:solidFill>
              <w14:schemeClr w14:val="tx1"/>
            </w14:solidFill>
          </w14:textFill>
        </w:rPr>
        <w:t>质量标准</w:t>
      </w:r>
      <w:bookmarkEnd w:id="331"/>
      <w:bookmarkEnd w:id="332"/>
      <w:bookmarkEnd w:id="333"/>
      <w:bookmarkEnd w:id="334"/>
      <w:bookmarkEnd w:id="335"/>
      <w:bookmarkEnd w:id="336"/>
      <w:bookmarkEnd w:id="337"/>
      <w:bookmarkEnd w:id="338"/>
      <w:bookmarkEnd w:id="339"/>
      <w:bookmarkEnd w:id="340"/>
    </w:p>
    <w:p w14:paraId="4CD64D03">
      <w:pPr>
        <w:pStyle w:val="162"/>
        <w:keepNext w:val="0"/>
        <w:keepLines w:val="0"/>
        <w:pageBreakBefore w:val="0"/>
        <w:widowControl w:val="0"/>
        <w:numPr>
          <w:ilvl w:val="0"/>
          <w:numId w:val="43"/>
        </w:numPr>
        <w:tabs>
          <w:tab w:val="left" w:pos="851"/>
        </w:tabs>
        <w:kinsoku/>
        <w:wordWrap/>
        <w:overflowPunct/>
        <w:topLinePunct w:val="0"/>
        <w:autoSpaceDE/>
        <w:autoSpaceDN/>
        <w:bidi w:val="0"/>
        <w:adjustRightInd/>
        <w:snapToGrid/>
        <w:spacing w:line="300" w:lineRule="auto"/>
        <w:ind w:left="850" w:hanging="425" w:firstLineChars="0"/>
        <w:textAlignment w:val="auto"/>
        <w:rPr>
          <w:rFonts w:hint="eastAsia" w:ascii="宋体" w:hAnsi="宋体" w:cs="宋体"/>
          <w:snapToGrid w:val="0"/>
          <w:sz w:val="24"/>
          <w:szCs w:val="24"/>
          <w:lang w:eastAsia="zh-CN"/>
        </w:rPr>
      </w:pPr>
      <w:r>
        <w:rPr>
          <w:rFonts w:hint="eastAsia" w:ascii="宋体" w:hAnsi="宋体" w:cs="宋体"/>
          <w:snapToGrid w:val="0"/>
          <w:sz w:val="24"/>
          <w:szCs w:val="24"/>
          <w:lang w:eastAsia="zh-CN"/>
        </w:rPr>
        <w:t>工程质量标准：</w:t>
      </w:r>
      <w:r>
        <w:rPr>
          <w:rFonts w:hint="eastAsia" w:ascii="宋体" w:hAnsi="宋体" w:cs="宋体"/>
          <w:snapToGrid w:val="0"/>
          <w:sz w:val="24"/>
          <w:szCs w:val="24"/>
          <w:u w:val="single"/>
          <w:lang w:val="en-US" w:eastAsia="zh-CN"/>
        </w:rPr>
        <w:t>合格</w:t>
      </w:r>
      <w:r>
        <w:rPr>
          <w:rFonts w:hint="eastAsia" w:ascii="宋体" w:hAnsi="宋体" w:cs="宋体"/>
          <w:snapToGrid w:val="0"/>
          <w:sz w:val="24"/>
          <w:szCs w:val="24"/>
          <w:lang w:eastAsia="zh-CN"/>
        </w:rPr>
        <w:t>。</w:t>
      </w:r>
    </w:p>
    <w:p w14:paraId="2CB21489">
      <w:pPr>
        <w:keepNext/>
        <w:keepLines/>
        <w:pageBreakBefore w:val="0"/>
        <w:widowControl w:val="0"/>
        <w:numPr>
          <w:ilvl w:val="0"/>
          <w:numId w:val="40"/>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341" w:name="_Toc29685"/>
      <w:bookmarkStart w:id="342" w:name="_Toc341124908"/>
      <w:bookmarkStart w:id="343" w:name="_Toc26160"/>
      <w:bookmarkStart w:id="344" w:name="_Toc11828"/>
      <w:bookmarkStart w:id="345" w:name="_Toc10341"/>
      <w:bookmarkStart w:id="346" w:name="_Toc31708"/>
      <w:bookmarkStart w:id="347" w:name="_Toc15961"/>
      <w:bookmarkStart w:id="348" w:name="_Toc5123"/>
      <w:bookmarkStart w:id="349" w:name="_Toc15106"/>
      <w:bookmarkStart w:id="350" w:name="_Toc30443"/>
      <w:r>
        <w:rPr>
          <w:rFonts w:hint="eastAsia" w:ascii="宋体" w:hAnsi="宋体" w:cs="宋体"/>
          <w:b/>
          <w:bCs/>
          <w:snapToGrid w:val="0"/>
          <w:color w:val="000000" w:themeColor="text1"/>
          <w:sz w:val="24"/>
          <w:szCs w:val="24"/>
          <w:lang w:val="en-US" w:eastAsia="zh-CN"/>
          <w14:textFill>
            <w14:solidFill>
              <w14:schemeClr w14:val="tx1"/>
            </w14:solidFill>
          </w14:textFill>
        </w:rPr>
        <w:t>合同</w:t>
      </w:r>
      <w:bookmarkEnd w:id="341"/>
      <w:bookmarkEnd w:id="342"/>
      <w:bookmarkEnd w:id="343"/>
      <w:r>
        <w:rPr>
          <w:rFonts w:hint="eastAsia" w:ascii="宋体" w:hAnsi="宋体" w:cs="宋体"/>
          <w:b/>
          <w:bCs/>
          <w:snapToGrid w:val="0"/>
          <w:color w:val="000000" w:themeColor="text1"/>
          <w:sz w:val="24"/>
          <w:szCs w:val="24"/>
          <w:lang w:val="en-US" w:eastAsia="zh-CN"/>
          <w14:textFill>
            <w14:solidFill>
              <w14:schemeClr w14:val="tx1"/>
            </w14:solidFill>
          </w14:textFill>
        </w:rPr>
        <w:t>价款</w:t>
      </w:r>
      <w:bookmarkEnd w:id="344"/>
      <w:bookmarkEnd w:id="345"/>
      <w:r>
        <w:rPr>
          <w:rFonts w:hint="eastAsia" w:ascii="宋体" w:hAnsi="宋体" w:cs="宋体"/>
          <w:b/>
          <w:bCs/>
          <w:snapToGrid w:val="0"/>
          <w:color w:val="000000" w:themeColor="text1"/>
          <w:sz w:val="24"/>
          <w:szCs w:val="24"/>
          <w:lang w:val="en-US" w:eastAsia="zh-CN"/>
          <w14:textFill>
            <w14:solidFill>
              <w14:schemeClr w14:val="tx1"/>
            </w14:solidFill>
          </w14:textFill>
        </w:rPr>
        <w:t>与合同价格形式</w:t>
      </w:r>
      <w:bookmarkEnd w:id="346"/>
      <w:bookmarkEnd w:id="347"/>
      <w:bookmarkEnd w:id="348"/>
      <w:bookmarkEnd w:id="349"/>
      <w:bookmarkEnd w:id="350"/>
    </w:p>
    <w:p w14:paraId="22B9F95B">
      <w:pPr>
        <w:keepNext w:val="0"/>
        <w:keepLines w:val="0"/>
        <w:pageBreakBefore w:val="0"/>
        <w:widowControl w:val="0"/>
        <w:numPr>
          <w:ilvl w:val="0"/>
          <w:numId w:val="44"/>
        </w:numPr>
        <w:tabs>
          <w:tab w:val="left" w:pos="851"/>
        </w:tabs>
        <w:kinsoku/>
        <w:wordWrap/>
        <w:overflowPunct/>
        <w:topLinePunct w:val="0"/>
        <w:autoSpaceDE/>
        <w:autoSpaceDN/>
        <w:bidi w:val="0"/>
        <w:adjustRightInd/>
        <w:snapToGrid/>
        <w:spacing w:line="360" w:lineRule="auto"/>
        <w:ind w:left="850" w:leftChars="135" w:hanging="567"/>
        <w:textAlignment w:val="auto"/>
        <w:rPr>
          <w:rFonts w:hint="eastAsia" w:ascii="宋体" w:hAnsi="宋体" w:eastAsia="宋体" w:cs="宋体"/>
          <w:snapToGrid w:val="0"/>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sz w:val="24"/>
          <w:szCs w:val="24"/>
          <w:highlight w:val="none"/>
          <w14:textFill>
            <w14:solidFill>
              <w14:schemeClr w14:val="tx1"/>
            </w14:solidFill>
          </w14:textFill>
        </w:rPr>
        <w:t>本合同为固定</w:t>
      </w:r>
      <w:r>
        <w:rPr>
          <w:rFonts w:hint="eastAsia" w:ascii="宋体" w:hAnsi="宋体" w:eastAsia="宋体" w:cs="宋体"/>
          <w:snapToGrid w:val="0"/>
          <w:color w:val="000000" w:themeColor="text1"/>
          <w:sz w:val="24"/>
          <w:szCs w:val="24"/>
          <w:highlight w:val="none"/>
          <w:lang w:val="en-US" w:eastAsia="zh-CN"/>
          <w14:textFill>
            <w14:solidFill>
              <w14:schemeClr w14:val="tx1"/>
            </w14:solidFill>
          </w14:textFill>
        </w:rPr>
        <w:t>综合</w:t>
      </w:r>
      <w:r>
        <w:rPr>
          <w:rFonts w:hint="eastAsia" w:ascii="宋体" w:hAnsi="宋体" w:eastAsia="宋体" w:cs="宋体"/>
          <w:snapToGrid w:val="0"/>
          <w:color w:val="000000" w:themeColor="text1"/>
          <w:sz w:val="24"/>
          <w:szCs w:val="24"/>
          <w:highlight w:val="none"/>
          <w14:textFill>
            <w14:solidFill>
              <w14:schemeClr w14:val="tx1"/>
            </w14:solidFill>
          </w14:textFill>
        </w:rPr>
        <w:t>单价合同，</w:t>
      </w:r>
      <w:r>
        <w:rPr>
          <w:rFonts w:hint="eastAsia" w:ascii="宋体" w:hAnsi="宋体" w:cs="宋体"/>
          <w:snapToGrid w:val="0"/>
          <w:color w:val="000000" w:themeColor="text1"/>
          <w:sz w:val="24"/>
          <w:szCs w:val="24"/>
          <w:highlight w:val="none"/>
          <w:lang w:val="en-US" w:eastAsia="zh-CN"/>
          <w14:textFill>
            <w14:solidFill>
              <w14:schemeClr w14:val="tx1"/>
            </w14:solidFill>
          </w14:textFill>
        </w:rPr>
        <w:t>本合同暂定</w:t>
      </w:r>
      <w:r>
        <w:rPr>
          <w:rFonts w:hint="eastAsia" w:ascii="宋体" w:hAnsi="宋体" w:eastAsia="宋体" w:cs="宋体"/>
          <w:snapToGrid w:val="0"/>
          <w:color w:val="000000" w:themeColor="text1"/>
          <w:sz w:val="24"/>
          <w:szCs w:val="24"/>
          <w:highlight w:val="none"/>
          <w14:textFill>
            <w14:solidFill>
              <w14:schemeClr w14:val="tx1"/>
            </w14:solidFill>
          </w14:textFill>
        </w:rPr>
        <w:t>含税</w:t>
      </w:r>
      <w:r>
        <w:rPr>
          <w:rFonts w:hint="eastAsia" w:ascii="宋体" w:hAnsi="宋体" w:cs="宋体"/>
          <w:snapToGrid w:val="0"/>
          <w:color w:val="000000" w:themeColor="text1"/>
          <w:sz w:val="24"/>
          <w:szCs w:val="24"/>
          <w:highlight w:val="none"/>
          <w:lang w:val="en-US" w:eastAsia="zh-CN"/>
          <w14:textFill>
            <w14:solidFill>
              <w14:schemeClr w14:val="tx1"/>
            </w14:solidFill>
          </w14:textFill>
        </w:rPr>
        <w:t>总价</w:t>
      </w:r>
      <w:r>
        <w:rPr>
          <w:rFonts w:hint="eastAsia" w:ascii="宋体" w:hAnsi="宋体" w:eastAsia="宋体" w:cs="宋体"/>
          <w:snapToGrid w:val="0"/>
          <w:color w:val="000000" w:themeColor="text1"/>
          <w:sz w:val="24"/>
          <w:szCs w:val="24"/>
          <w:highlight w:val="none"/>
          <w14:textFill>
            <w14:solidFill>
              <w14:schemeClr w14:val="tx1"/>
            </w14:solidFill>
          </w14:textFill>
        </w:rPr>
        <w:t>人民币（大写）</w:t>
      </w:r>
      <w:r>
        <w:rPr>
          <w:rFonts w:hint="eastAsia" w:ascii="宋体" w:hAnsi="宋体" w:eastAsia="宋体" w:cs="宋体"/>
          <w:snapToGrid w:val="0"/>
          <w:color w:val="000000" w:themeColor="text1"/>
          <w:sz w:val="24"/>
          <w:szCs w:val="24"/>
          <w:highlight w:val="none"/>
          <w:u w:val="none"/>
          <w14:textFill>
            <w14:solidFill>
              <w14:schemeClr w14:val="tx1"/>
            </w14:solidFill>
          </w14:textFill>
        </w:rPr>
        <w:t>：</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(小写：¥</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元）；其中：不含税价（大写）</w:t>
      </w:r>
      <w:r>
        <w:rPr>
          <w:rFonts w:hint="eastAsia" w:ascii="宋体" w:hAnsi="宋体" w:cs="宋体"/>
          <w:snapToGrid w:val="0"/>
          <w:color w:val="000000" w:themeColor="text1"/>
          <w:sz w:val="24"/>
          <w:szCs w:val="24"/>
          <w:highlight w:val="none"/>
          <w:lang w:val="en-US" w:eastAsia="zh-CN"/>
          <w14:textFill>
            <w14:solidFill>
              <w14:schemeClr w14:val="tx1"/>
            </w14:solidFill>
          </w14:textFill>
        </w:rPr>
        <w:t>:</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(小写：¥</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元）；税金（增值税税率</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）（大写）：</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(小写：¥</w:t>
      </w:r>
      <w:r>
        <w:rPr>
          <w:rFonts w:hint="eastAsia" w:ascii="宋体" w:hAnsi="宋体" w:cs="宋体"/>
          <w:snapToGrid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sz w:val="24"/>
          <w:szCs w:val="24"/>
          <w:highlight w:val="none"/>
          <w14:textFill>
            <w14:solidFill>
              <w14:schemeClr w14:val="tx1"/>
            </w14:solidFill>
          </w14:textFill>
        </w:rPr>
        <w:t>元）。</w:t>
      </w:r>
    </w:p>
    <w:p w14:paraId="5242D54F">
      <w:pPr>
        <w:keepNext w:val="0"/>
        <w:keepLines w:val="0"/>
        <w:pageBreakBefore w:val="0"/>
        <w:widowControl w:val="0"/>
        <w:numPr>
          <w:ilvl w:val="-1"/>
          <w:numId w:val="0"/>
        </w:numPr>
        <w:tabs>
          <w:tab w:val="left" w:pos="851"/>
        </w:tabs>
        <w:kinsoku/>
        <w:wordWrap/>
        <w:overflowPunct/>
        <w:topLinePunct w:val="0"/>
        <w:autoSpaceDE/>
        <w:autoSpaceDN/>
        <w:bidi w:val="0"/>
        <w:adjustRightInd/>
        <w:snapToGrid/>
        <w:spacing w:line="360" w:lineRule="auto"/>
        <w:ind w:left="840" w:leftChars="400" w:firstLine="0" w:firstLineChars="0"/>
        <w:textAlignment w:val="auto"/>
        <w:rPr>
          <w:rFonts w:hint="eastAsia" w:ascii="宋体" w:hAnsi="宋体" w:eastAsia="宋体" w:cs="宋体"/>
          <w:b/>
          <w:bCs/>
          <w:snapToGrid w:val="0"/>
          <w:color w:val="000000" w:themeColor="text1"/>
          <w:sz w:val="24"/>
          <w:szCs w:val="24"/>
          <w14:textFill>
            <w14:solidFill>
              <w14:schemeClr w14:val="tx1"/>
            </w14:solidFill>
          </w14:textFill>
        </w:rPr>
      </w:pPr>
      <w:r>
        <w:rPr>
          <w:rFonts w:hint="eastAsia" w:ascii="宋体" w:hAnsi="宋体" w:eastAsia="宋体" w:cs="宋体"/>
          <w:b/>
          <w:bCs/>
          <w:snapToGrid w:val="0"/>
          <w:color w:val="000000" w:themeColor="text1"/>
          <w:sz w:val="24"/>
          <w:szCs w:val="24"/>
          <w14:textFill>
            <w14:solidFill>
              <w14:schemeClr w14:val="tx1"/>
            </w14:solidFill>
          </w14:textFill>
        </w:rPr>
        <w:t>监理</w:t>
      </w:r>
      <w:r>
        <w:rPr>
          <w:rFonts w:hint="eastAsia" w:ascii="宋体" w:hAnsi="宋体" w:eastAsia="宋体" w:cs="宋体"/>
          <w:b/>
          <w:bCs/>
          <w:snapToGrid w:val="0"/>
          <w:color w:val="000000" w:themeColor="text1"/>
          <w:sz w:val="24"/>
          <w:szCs w:val="24"/>
          <w:lang w:val="en-US" w:eastAsia="zh-CN"/>
          <w14:textFill>
            <w14:solidFill>
              <w14:schemeClr w14:val="tx1"/>
            </w14:solidFill>
          </w14:textFill>
        </w:rPr>
        <w:t>服务</w:t>
      </w:r>
      <w:r>
        <w:rPr>
          <w:rFonts w:hint="eastAsia" w:ascii="宋体" w:hAnsi="宋体" w:eastAsia="宋体" w:cs="宋体"/>
          <w:b/>
          <w:bCs/>
          <w:snapToGrid w:val="0"/>
          <w:color w:val="000000" w:themeColor="text1"/>
          <w:sz w:val="24"/>
          <w:szCs w:val="24"/>
          <w14:textFill>
            <w14:solidFill>
              <w14:schemeClr w14:val="tx1"/>
            </w14:solidFill>
          </w14:textFill>
        </w:rPr>
        <w:t>工作报酬计算方法：</w:t>
      </w:r>
      <w:r>
        <w:rPr>
          <w:rFonts w:hint="eastAsia" w:ascii="宋体" w:hAnsi="宋体" w:eastAsia="宋体" w:cs="宋体"/>
          <w:b/>
          <w:bCs/>
          <w:snapToGrid w:val="0"/>
          <w:color w:val="000000" w:themeColor="text1"/>
          <w:sz w:val="24"/>
          <w:szCs w:val="24"/>
          <w:lang w:val="en-US" w:eastAsia="zh-CN"/>
          <w14:textFill>
            <w14:solidFill>
              <w14:schemeClr w14:val="tx1"/>
            </w14:solidFill>
          </w14:textFill>
        </w:rPr>
        <w:t>计费含税综合单价约为</w:t>
      </w:r>
      <w:r>
        <w:rPr>
          <w:rFonts w:hint="eastAsia" w:ascii="宋体" w:hAnsi="宋体" w:eastAsia="宋体" w:cs="宋体"/>
          <w:b/>
          <w:bCs/>
          <w:snapToGrid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snapToGrid w:val="0"/>
          <w:color w:val="000000" w:themeColor="text1"/>
          <w:sz w:val="24"/>
          <w:szCs w:val="24"/>
          <w:lang w:val="en-US" w:eastAsia="zh-CN"/>
          <w14:textFill>
            <w14:solidFill>
              <w14:schemeClr w14:val="tx1"/>
            </w14:solidFill>
          </w14:textFill>
        </w:rPr>
        <w:t>元/m2,税率</w:t>
      </w:r>
      <w:r>
        <w:rPr>
          <w:rFonts w:hint="eastAsia" w:ascii="宋体" w:hAnsi="宋体" w:eastAsia="宋体" w:cs="宋体"/>
          <w:b/>
          <w:bCs/>
          <w:snapToGrid w:val="0"/>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
          <w:bCs/>
          <w:snapToGrid w:val="0"/>
          <w:color w:val="000000" w:themeColor="text1"/>
          <w:sz w:val="24"/>
          <w:szCs w:val="24"/>
          <w:lang w:val="en-US" w:eastAsia="zh-CN"/>
          <w14:textFill>
            <w14:solidFill>
              <w14:schemeClr w14:val="tx1"/>
            </w14:solidFill>
          </w14:textFill>
        </w:rPr>
        <w:t xml:space="preserve"> %，</w:t>
      </w:r>
    </w:p>
    <w:p w14:paraId="2547CF6A">
      <w:pPr>
        <w:keepNext w:val="0"/>
        <w:keepLines w:val="0"/>
        <w:pageBreakBefore w:val="0"/>
        <w:widowControl w:val="0"/>
        <w:numPr>
          <w:ilvl w:val="0"/>
          <w:numId w:val="44"/>
        </w:numPr>
        <w:tabs>
          <w:tab w:val="left" w:pos="851"/>
        </w:tabs>
        <w:kinsoku/>
        <w:wordWrap/>
        <w:overflowPunct/>
        <w:topLinePunct w:val="0"/>
        <w:autoSpaceDE/>
        <w:autoSpaceDN/>
        <w:bidi w:val="0"/>
        <w:adjustRightInd/>
        <w:snapToGrid/>
        <w:spacing w:line="360" w:lineRule="auto"/>
        <w:ind w:left="850" w:leftChars="135" w:hanging="567"/>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如在合同签订期间及合同签订后，国家增值税税率发生变化的，无论增值税税率如何变动，不含税单价金额不变，工程量清单中含税综合包干单价税率随国家最新税率调整，发票税额随税率变化。</w:t>
      </w:r>
    </w:p>
    <w:p w14:paraId="6160E154">
      <w:pPr>
        <w:keepNext w:val="0"/>
        <w:keepLines w:val="0"/>
        <w:pageBreakBefore w:val="0"/>
        <w:widowControl w:val="0"/>
        <w:numPr>
          <w:ilvl w:val="0"/>
          <w:numId w:val="44"/>
        </w:numPr>
        <w:tabs>
          <w:tab w:val="left" w:pos="851"/>
        </w:tabs>
        <w:kinsoku/>
        <w:wordWrap/>
        <w:overflowPunct/>
        <w:topLinePunct w:val="0"/>
        <w:autoSpaceDE/>
        <w:autoSpaceDN/>
        <w:bidi w:val="0"/>
        <w:adjustRightInd/>
        <w:snapToGrid/>
        <w:spacing w:line="360" w:lineRule="auto"/>
        <w:ind w:left="850" w:leftChars="135" w:hanging="567"/>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本合同的计价方式为工程量清单计价 ，有关合同价款的约定详见“合同专用条款及附件”。</w:t>
      </w:r>
    </w:p>
    <w:p w14:paraId="034A054F">
      <w:pPr>
        <w:numPr>
          <w:ilvl w:val="0"/>
          <w:numId w:val="44"/>
        </w:numPr>
        <w:tabs>
          <w:tab w:val="left" w:pos="851"/>
        </w:tabs>
        <w:spacing w:line="360" w:lineRule="auto"/>
        <w:ind w:left="850" w:leftChars="135" w:hanging="567" w:firstLineChars="0"/>
        <w:rPr>
          <w:rFonts w:ascii="宋体" w:hAnsi="宋体" w:cs="宋体"/>
          <w:spacing w:val="-5"/>
          <w:sz w:val="24"/>
        </w:rPr>
      </w:pPr>
      <w:r>
        <w:rPr>
          <w:rFonts w:hint="eastAsia" w:ascii="宋体" w:hAnsi="宋体" w:cs="宋体"/>
          <w:spacing w:val="-5"/>
          <w:sz w:val="24"/>
        </w:rPr>
        <w:t>本综合包干单价已全部包含：完成满足要求及</w:t>
      </w:r>
      <w:r>
        <w:rPr>
          <w:rFonts w:hint="eastAsia" w:ascii="宋体" w:hAnsi="宋体" w:cs="宋体"/>
          <w:spacing w:val="-5"/>
          <w:sz w:val="24"/>
          <w:lang w:val="en-US" w:eastAsia="zh-CN"/>
        </w:rPr>
        <w:t>发包人</w:t>
      </w:r>
      <w:r>
        <w:rPr>
          <w:rFonts w:hint="eastAsia" w:ascii="宋体" w:hAnsi="宋体" w:cs="宋体"/>
          <w:spacing w:val="-5"/>
          <w:sz w:val="24"/>
        </w:rPr>
        <w:t>交工验收合格标准的要求所须完成的本承包工程范围内的所有工作内容（含相关联的工作）。本综合包干单价中未列明但属于为满足要求及</w:t>
      </w:r>
      <w:r>
        <w:rPr>
          <w:rFonts w:hint="eastAsia" w:ascii="宋体" w:hAnsi="宋体" w:cs="宋体"/>
          <w:spacing w:val="-5"/>
          <w:sz w:val="24"/>
          <w:lang w:val="en-US" w:eastAsia="zh-CN"/>
        </w:rPr>
        <w:t>发包人</w:t>
      </w:r>
      <w:r>
        <w:rPr>
          <w:rFonts w:hint="eastAsia" w:ascii="宋体" w:hAnsi="宋体" w:cs="宋体"/>
          <w:spacing w:val="-5"/>
          <w:sz w:val="24"/>
        </w:rPr>
        <w:t>交工验收合格标准的要求所须完成的其他项目内容不再进行计价，已全部包含在本综合单价内。</w:t>
      </w:r>
    </w:p>
    <w:p w14:paraId="0DBDC798">
      <w:pPr>
        <w:numPr>
          <w:ilvl w:val="0"/>
          <w:numId w:val="44"/>
        </w:numPr>
        <w:tabs>
          <w:tab w:val="left" w:pos="851"/>
        </w:tabs>
        <w:spacing w:line="360" w:lineRule="auto"/>
        <w:ind w:left="850" w:leftChars="135" w:hanging="567" w:firstLineChars="0"/>
        <w:rPr>
          <w:rFonts w:hint="eastAsia" w:ascii="宋体" w:hAnsi="宋体" w:eastAsia="宋体" w:cs="宋体"/>
          <w:spacing w:val="-5"/>
          <w:sz w:val="24"/>
        </w:rPr>
      </w:pPr>
      <w:r>
        <w:rPr>
          <w:rFonts w:hint="eastAsia" w:ascii="宋体" w:hAnsi="宋体" w:eastAsia="宋体" w:cs="宋体"/>
          <w:spacing w:val="-5"/>
          <w:sz w:val="24"/>
        </w:rPr>
        <w:t>除根据监理合同约定的在监理工程实施过程中需进行增减的款项外，监理合同价格形式为</w:t>
      </w:r>
      <w:r>
        <w:rPr>
          <w:rFonts w:hint="eastAsia" w:ascii="宋体" w:hAnsi="宋体" w:eastAsia="宋体" w:cs="宋体"/>
          <w:spacing w:val="-5"/>
          <w:sz w:val="24"/>
          <w:lang w:val="en-US" w:eastAsia="zh-CN"/>
        </w:rPr>
        <w:t>综合</w:t>
      </w:r>
      <w:r>
        <w:rPr>
          <w:rFonts w:hint="eastAsia" w:ascii="宋体" w:hAnsi="宋体" w:eastAsia="宋体" w:cs="宋体"/>
          <w:spacing w:val="-5"/>
          <w:sz w:val="24"/>
        </w:rPr>
        <w:t>固定</w:t>
      </w:r>
      <w:r>
        <w:rPr>
          <w:rFonts w:hint="eastAsia" w:ascii="宋体" w:hAnsi="宋体" w:eastAsia="宋体" w:cs="宋体"/>
          <w:spacing w:val="-5"/>
          <w:sz w:val="24"/>
          <w:lang w:val="en-US" w:eastAsia="zh-CN"/>
        </w:rPr>
        <w:t>单价（含税）</w:t>
      </w:r>
      <w:r>
        <w:rPr>
          <w:rFonts w:hint="eastAsia" w:ascii="宋体" w:hAnsi="宋体" w:eastAsia="宋体" w:cs="宋体"/>
          <w:spacing w:val="-5"/>
          <w:sz w:val="24"/>
        </w:rPr>
        <w:t>，该</w:t>
      </w:r>
      <w:r>
        <w:rPr>
          <w:rFonts w:hint="eastAsia" w:ascii="宋体" w:hAnsi="宋体" w:eastAsia="宋体" w:cs="宋体"/>
          <w:spacing w:val="-5"/>
          <w:sz w:val="24"/>
          <w:lang w:val="en-US" w:eastAsia="zh-CN"/>
        </w:rPr>
        <w:t>单价</w:t>
      </w:r>
      <w:r>
        <w:rPr>
          <w:rFonts w:hint="eastAsia" w:ascii="宋体" w:hAnsi="宋体" w:eastAsia="宋体" w:cs="宋体"/>
          <w:spacing w:val="-5"/>
          <w:sz w:val="24"/>
        </w:rPr>
        <w:t>不因任何因素调整</w:t>
      </w:r>
      <w:r>
        <w:rPr>
          <w:rFonts w:hint="eastAsia" w:ascii="宋体" w:hAnsi="宋体" w:eastAsia="宋体" w:cs="宋体"/>
          <w:spacing w:val="-5"/>
          <w:sz w:val="24"/>
          <w:lang w:eastAsia="zh-CN"/>
        </w:rPr>
        <w:t>（</w:t>
      </w:r>
      <w:r>
        <w:rPr>
          <w:rFonts w:hint="eastAsia" w:ascii="宋体" w:hAnsi="宋体" w:eastAsia="宋体" w:cs="宋体"/>
          <w:spacing w:val="-5"/>
          <w:sz w:val="24"/>
          <w:lang w:val="en-US" w:eastAsia="zh-CN"/>
        </w:rPr>
        <w:t>除国家政策税率调整外</w:t>
      </w:r>
      <w:r>
        <w:rPr>
          <w:rFonts w:hint="eastAsia" w:ascii="宋体" w:hAnsi="宋体" w:eastAsia="宋体" w:cs="宋体"/>
          <w:spacing w:val="-5"/>
          <w:sz w:val="24"/>
          <w:lang w:eastAsia="zh-CN"/>
        </w:rPr>
        <w:t>）。</w:t>
      </w:r>
    </w:p>
    <w:p w14:paraId="5FE212FB">
      <w:pPr>
        <w:numPr>
          <w:ilvl w:val="0"/>
          <w:numId w:val="44"/>
        </w:numPr>
        <w:tabs>
          <w:tab w:val="left" w:pos="851"/>
        </w:tabs>
        <w:spacing w:line="360" w:lineRule="auto"/>
        <w:ind w:left="850" w:leftChars="135" w:hanging="567" w:firstLineChars="0"/>
        <w:rPr>
          <w:rFonts w:hint="eastAsia" w:ascii="宋体" w:hAnsi="宋体" w:eastAsia="宋体" w:cs="宋体"/>
          <w:spacing w:val="-5"/>
          <w:sz w:val="24"/>
          <w:szCs w:val="24"/>
        </w:rPr>
      </w:pPr>
      <w:r>
        <w:rPr>
          <w:rFonts w:hint="eastAsia" w:ascii="宋体" w:hAnsi="宋体" w:eastAsia="宋体" w:cs="宋体"/>
          <w:spacing w:val="-5"/>
          <w:sz w:val="24"/>
        </w:rPr>
        <w:t>本合同固定综合单价包括但不限于：包括但不限于为实施和完成本项目</w:t>
      </w:r>
      <w:r>
        <w:rPr>
          <w:rFonts w:hint="eastAsia" w:ascii="宋体" w:hAnsi="宋体" w:eastAsia="宋体" w:cs="宋体"/>
          <w:spacing w:val="-5"/>
          <w:sz w:val="24"/>
          <w:lang w:val="en-US" w:eastAsia="zh-CN"/>
        </w:rPr>
        <w:t>全过程</w:t>
      </w:r>
      <w:r>
        <w:rPr>
          <w:rFonts w:hint="eastAsia" w:ascii="宋体" w:hAnsi="宋体" w:eastAsia="宋体" w:cs="宋体"/>
          <w:spacing w:val="-5"/>
          <w:sz w:val="24"/>
        </w:rPr>
        <w:t>监理</w:t>
      </w:r>
      <w:r>
        <w:rPr>
          <w:rFonts w:hint="eastAsia" w:ascii="宋体" w:hAnsi="宋体" w:eastAsia="宋体" w:cs="宋体"/>
          <w:spacing w:val="-5"/>
          <w:sz w:val="24"/>
          <w:lang w:val="en-US" w:eastAsia="zh-CN"/>
        </w:rPr>
        <w:t>服务（施工准备阶段、施工阶段、竣工验收阶段、协助结算审计）</w:t>
      </w:r>
      <w:r>
        <w:rPr>
          <w:rFonts w:hint="eastAsia" w:ascii="宋体" w:hAnsi="宋体" w:eastAsia="宋体" w:cs="宋体"/>
          <w:spacing w:val="-5"/>
          <w:sz w:val="24"/>
        </w:rPr>
        <w:t>工作所需的</w:t>
      </w:r>
      <w:r>
        <w:rPr>
          <w:rFonts w:hint="eastAsia" w:ascii="宋体" w:hAnsi="宋体" w:eastAsia="宋体" w:cs="宋体"/>
          <w:spacing w:val="-5"/>
          <w:sz w:val="24"/>
          <w:lang w:val="en-US" w:eastAsia="zh-CN"/>
        </w:rPr>
        <w:t>项目监理人员的工资、</w:t>
      </w:r>
      <w:r>
        <w:rPr>
          <w:rFonts w:hint="eastAsia" w:ascii="宋体" w:hAnsi="宋体" w:eastAsia="宋体" w:cs="宋体"/>
          <w:spacing w:val="-5"/>
          <w:sz w:val="24"/>
        </w:rPr>
        <w:t>技术</w:t>
      </w:r>
      <w:r>
        <w:rPr>
          <w:rFonts w:hint="eastAsia" w:ascii="宋体" w:hAnsi="宋体" w:eastAsia="宋体" w:cs="宋体"/>
          <w:spacing w:val="-5"/>
          <w:sz w:val="24"/>
          <w:lang w:val="en-US" w:eastAsia="zh-CN"/>
        </w:rPr>
        <w:t>咨询</w:t>
      </w:r>
      <w:r>
        <w:rPr>
          <w:rFonts w:hint="eastAsia" w:ascii="宋体" w:hAnsi="宋体" w:eastAsia="宋体" w:cs="宋体"/>
          <w:spacing w:val="-5"/>
          <w:sz w:val="24"/>
        </w:rPr>
        <w:t>服务费、加班费、开办费(通讯、交通、</w:t>
      </w:r>
      <w:r>
        <w:rPr>
          <w:rFonts w:hint="eastAsia" w:ascii="宋体" w:hAnsi="宋体" w:eastAsia="宋体" w:cs="宋体"/>
          <w:spacing w:val="-5"/>
          <w:sz w:val="24"/>
          <w:lang w:val="en-US" w:eastAsia="zh-CN"/>
        </w:rPr>
        <w:t>外出考察费、</w:t>
      </w:r>
      <w:r>
        <w:rPr>
          <w:rFonts w:hint="eastAsia" w:ascii="宋体" w:hAnsi="宋体" w:eastAsia="宋体" w:cs="宋体"/>
          <w:spacing w:val="-5"/>
          <w:sz w:val="24"/>
        </w:rPr>
        <w:t>邮寄、快递、复印、传真、装订、</w:t>
      </w:r>
      <w:r>
        <w:rPr>
          <w:rFonts w:hint="eastAsia" w:ascii="宋体" w:hAnsi="宋体" w:eastAsia="宋体" w:cs="宋体"/>
          <w:spacing w:val="-5"/>
          <w:sz w:val="24"/>
          <w:lang w:val="en-US" w:eastAsia="zh-CN"/>
        </w:rPr>
        <w:t>办公用品、</w:t>
      </w:r>
      <w:r>
        <w:rPr>
          <w:rFonts w:hint="eastAsia" w:ascii="宋体" w:hAnsi="宋体" w:eastAsia="宋体" w:cs="宋体"/>
          <w:spacing w:val="-5"/>
          <w:sz w:val="24"/>
        </w:rPr>
        <w:t>现场办公设备、仪器设备及工具、监理人员的食宿费用等)、</w:t>
      </w:r>
      <w:r>
        <w:rPr>
          <w:rFonts w:hint="eastAsia" w:ascii="宋体" w:hAnsi="宋体" w:eastAsia="宋体" w:cs="宋体"/>
          <w:spacing w:val="-5"/>
          <w:sz w:val="24"/>
          <w:lang w:val="en-US" w:eastAsia="zh-CN"/>
        </w:rPr>
        <w:t>平行抽检实验</w:t>
      </w:r>
      <w:r>
        <w:rPr>
          <w:rFonts w:hint="eastAsia" w:ascii="宋体" w:hAnsi="宋体" w:eastAsia="宋体" w:cs="宋体"/>
          <w:spacing w:val="-5"/>
          <w:sz w:val="24"/>
        </w:rPr>
        <w:t>费用</w:t>
      </w:r>
      <w:r>
        <w:rPr>
          <w:rFonts w:hint="eastAsia" w:ascii="宋体" w:hAnsi="宋体" w:eastAsia="宋体" w:cs="宋体"/>
          <w:spacing w:val="-5"/>
          <w:sz w:val="24"/>
          <w:lang w:val="en-US" w:eastAsia="zh-CN"/>
        </w:rPr>
        <w:t>、办公及监理设备进退场费及场内搬迁费、</w:t>
      </w:r>
      <w:r>
        <w:rPr>
          <w:rFonts w:hint="eastAsia" w:ascii="宋体" w:hAnsi="宋体" w:eastAsia="宋体" w:cs="宋体"/>
          <w:spacing w:val="-5"/>
          <w:sz w:val="24"/>
        </w:rPr>
        <w:t>管理费、保险、税费、利润及风险费等所有一切费用。</w:t>
      </w:r>
    </w:p>
    <w:p w14:paraId="3B6C5374">
      <w:pPr>
        <w:numPr>
          <w:ilvl w:val="0"/>
          <w:numId w:val="44"/>
        </w:numPr>
        <w:tabs>
          <w:tab w:val="left" w:pos="851"/>
        </w:tabs>
        <w:spacing w:line="360" w:lineRule="auto"/>
        <w:ind w:left="850" w:leftChars="135" w:hanging="567" w:firstLineChars="0"/>
        <w:rPr>
          <w:rFonts w:hint="eastAsia" w:ascii="宋体" w:hAnsi="宋体" w:eastAsia="宋体" w:cs="宋体"/>
          <w:spacing w:val="-5"/>
          <w:sz w:val="24"/>
        </w:rPr>
      </w:pPr>
      <w:r>
        <w:rPr>
          <w:rFonts w:hint="eastAsia" w:ascii="宋体" w:hAnsi="宋体" w:eastAsia="宋体" w:cs="宋体"/>
          <w:spacing w:val="-5"/>
          <w:sz w:val="24"/>
        </w:rPr>
        <w:t>合同金额不因物价变动、国家或地方政府的法律法规的变动</w:t>
      </w:r>
      <w:r>
        <w:rPr>
          <w:rFonts w:hint="eastAsia" w:ascii="宋体" w:hAnsi="宋体" w:eastAsia="宋体" w:cs="宋体"/>
          <w:spacing w:val="-5"/>
          <w:sz w:val="24"/>
          <w:lang w:eastAsia="zh-CN"/>
        </w:rPr>
        <w:t>，</w:t>
      </w:r>
      <w:r>
        <w:rPr>
          <w:rFonts w:hint="eastAsia" w:ascii="宋体" w:hAnsi="宋体" w:eastAsia="宋体" w:cs="宋体"/>
          <w:spacing w:val="-5"/>
          <w:sz w:val="24"/>
        </w:rPr>
        <w:t>本项目的业态变更、变更、修改和施工内容的增减而调整</w:t>
      </w:r>
      <w:r>
        <w:rPr>
          <w:rFonts w:hint="eastAsia" w:ascii="宋体" w:hAnsi="宋体" w:eastAsia="宋体" w:cs="宋体"/>
          <w:spacing w:val="-5"/>
          <w:sz w:val="24"/>
          <w:lang w:eastAsia="zh-CN"/>
        </w:rPr>
        <w:t>。</w:t>
      </w:r>
    </w:p>
    <w:p w14:paraId="1A9FF04C">
      <w:pPr>
        <w:numPr>
          <w:ilvl w:val="0"/>
          <w:numId w:val="44"/>
        </w:numPr>
        <w:tabs>
          <w:tab w:val="left" w:pos="851"/>
        </w:tabs>
        <w:spacing w:line="360" w:lineRule="auto"/>
        <w:ind w:left="850" w:leftChars="135" w:hanging="567" w:firstLineChars="0"/>
        <w:rPr>
          <w:rFonts w:hint="eastAsia" w:ascii="宋体" w:hAnsi="宋体" w:eastAsia="宋体" w:cs="宋体"/>
          <w:spacing w:val="-5"/>
          <w:sz w:val="24"/>
        </w:rPr>
      </w:pPr>
      <w:r>
        <w:rPr>
          <w:rFonts w:hint="eastAsia" w:ascii="宋体" w:hAnsi="宋体" w:eastAsia="宋体" w:cs="宋体"/>
          <w:spacing w:val="-5"/>
          <w:sz w:val="24"/>
        </w:rPr>
        <w:t>监理人应被认为已取得了对工程可能产生影响和作用的有关风险、意识事件和其他情况的全部必要资料。为此，报价中的风险包括：</w:t>
      </w:r>
    </w:p>
    <w:p w14:paraId="1A14A712">
      <w:pPr>
        <w:pStyle w:val="162"/>
        <w:keepNext w:val="0"/>
        <w:keepLines w:val="0"/>
        <w:pageBreakBefore w:val="0"/>
        <w:widowControl w:val="0"/>
        <w:numPr>
          <w:ilvl w:val="0"/>
          <w:numId w:val="43"/>
        </w:numPr>
        <w:tabs>
          <w:tab w:val="left" w:pos="851"/>
        </w:tabs>
        <w:kinsoku/>
        <w:wordWrap/>
        <w:overflowPunct/>
        <w:topLinePunct w:val="0"/>
        <w:autoSpaceDE/>
        <w:autoSpaceDN/>
        <w:bidi w:val="0"/>
        <w:adjustRightInd/>
        <w:snapToGrid/>
        <w:spacing w:line="360" w:lineRule="auto"/>
        <w:ind w:left="850" w:hanging="425" w:firstLineChars="0"/>
        <w:textAlignment w:val="auto"/>
        <w:rPr>
          <w:rFonts w:hint="eastAsia" w:ascii="宋体" w:hAnsi="宋体" w:eastAsia="宋体" w:cs="宋体"/>
          <w:snapToGrid w:val="0"/>
          <w:sz w:val="24"/>
          <w:szCs w:val="24"/>
          <w:lang w:eastAsia="zh-CN"/>
        </w:rPr>
      </w:pPr>
      <w:r>
        <w:rPr>
          <w:rFonts w:hint="eastAsia" w:ascii="宋体" w:hAnsi="宋体" w:eastAsia="宋体" w:cs="宋体"/>
          <w:snapToGrid w:val="0"/>
          <w:sz w:val="24"/>
          <w:szCs w:val="24"/>
          <w:lang w:eastAsia="zh-CN"/>
        </w:rPr>
        <w:t>因委托人调整工程进度计划，导致监理工作计划及人员安排计划调整的风险；</w:t>
      </w:r>
    </w:p>
    <w:p w14:paraId="55702676">
      <w:pPr>
        <w:pStyle w:val="162"/>
        <w:keepNext w:val="0"/>
        <w:keepLines w:val="0"/>
        <w:pageBreakBefore w:val="0"/>
        <w:widowControl w:val="0"/>
        <w:numPr>
          <w:ilvl w:val="0"/>
          <w:numId w:val="43"/>
        </w:numPr>
        <w:tabs>
          <w:tab w:val="left" w:pos="851"/>
        </w:tabs>
        <w:kinsoku/>
        <w:wordWrap/>
        <w:overflowPunct/>
        <w:topLinePunct w:val="0"/>
        <w:autoSpaceDE/>
        <w:autoSpaceDN/>
        <w:bidi w:val="0"/>
        <w:adjustRightInd/>
        <w:snapToGrid/>
        <w:spacing w:line="360" w:lineRule="auto"/>
        <w:ind w:left="850" w:hanging="425" w:firstLineChars="0"/>
        <w:textAlignment w:val="auto"/>
        <w:rPr>
          <w:rFonts w:hint="eastAsia" w:ascii="宋体" w:hAnsi="宋体" w:eastAsia="宋体" w:cs="宋体"/>
          <w:snapToGrid w:val="0"/>
          <w:sz w:val="24"/>
          <w:szCs w:val="24"/>
          <w:lang w:eastAsia="zh-CN"/>
        </w:rPr>
      </w:pPr>
      <w:r>
        <w:rPr>
          <w:rFonts w:hint="eastAsia" w:ascii="宋体" w:hAnsi="宋体" w:eastAsia="宋体" w:cs="宋体"/>
          <w:snapToGrid w:val="0"/>
          <w:sz w:val="24"/>
          <w:szCs w:val="24"/>
          <w:lang w:eastAsia="zh-CN"/>
        </w:rPr>
        <w:t>监理人应该预见而未能预见的困难和费用；</w:t>
      </w:r>
    </w:p>
    <w:p w14:paraId="6D2D3CCA">
      <w:pPr>
        <w:pStyle w:val="162"/>
        <w:keepNext w:val="0"/>
        <w:keepLines w:val="0"/>
        <w:pageBreakBefore w:val="0"/>
        <w:widowControl w:val="0"/>
        <w:numPr>
          <w:ilvl w:val="0"/>
          <w:numId w:val="43"/>
        </w:numPr>
        <w:tabs>
          <w:tab w:val="left" w:pos="851"/>
        </w:tabs>
        <w:kinsoku/>
        <w:wordWrap/>
        <w:overflowPunct/>
        <w:topLinePunct w:val="0"/>
        <w:autoSpaceDE/>
        <w:autoSpaceDN/>
        <w:bidi w:val="0"/>
        <w:adjustRightInd/>
        <w:snapToGrid/>
        <w:spacing w:line="360" w:lineRule="auto"/>
        <w:ind w:left="850" w:hanging="425" w:firstLineChars="0"/>
        <w:textAlignment w:val="auto"/>
        <w:rPr>
          <w:rFonts w:hint="eastAsia" w:ascii="宋体" w:hAnsi="宋体" w:eastAsia="宋体" w:cs="宋体"/>
          <w:spacing w:val="-5"/>
          <w:sz w:val="24"/>
          <w:szCs w:val="24"/>
        </w:rPr>
      </w:pPr>
      <w:r>
        <w:rPr>
          <w:rFonts w:hint="eastAsia" w:ascii="宋体" w:hAnsi="宋体" w:eastAsia="宋体" w:cs="宋体"/>
          <w:snapToGrid w:val="0"/>
          <w:sz w:val="24"/>
          <w:szCs w:val="24"/>
          <w:lang w:eastAsia="zh-CN"/>
        </w:rPr>
        <w:t>劳务及其事件或事务性费用的变化的风险。</w:t>
      </w:r>
    </w:p>
    <w:p w14:paraId="29BF0A55">
      <w:pPr>
        <w:keepNext w:val="0"/>
        <w:keepLines w:val="0"/>
        <w:pageBreakBefore w:val="0"/>
        <w:widowControl w:val="0"/>
        <w:numPr>
          <w:ilvl w:val="0"/>
          <w:numId w:val="44"/>
        </w:numPr>
        <w:tabs>
          <w:tab w:val="left" w:pos="851"/>
        </w:tabs>
        <w:kinsoku/>
        <w:wordWrap/>
        <w:overflowPunct/>
        <w:topLinePunct w:val="0"/>
        <w:autoSpaceDE/>
        <w:autoSpaceDN/>
        <w:bidi w:val="0"/>
        <w:adjustRightInd/>
        <w:snapToGrid/>
        <w:spacing w:line="360" w:lineRule="auto"/>
        <w:ind w:left="850" w:leftChars="135" w:hanging="567"/>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本合同的结算方式为：</w:t>
      </w:r>
    </w:p>
    <w:p w14:paraId="1C4CA6ED">
      <w:pPr>
        <w:pageBreakBefore w:val="0"/>
        <w:widowControl w:val="0"/>
        <w:kinsoku w:val="0"/>
        <w:wordWrap/>
        <w:overflowPunct w:val="0"/>
        <w:topLinePunct w:val="0"/>
        <w:autoSpaceDE w:val="0"/>
        <w:autoSpaceDN w:val="0"/>
        <w:bidi w:val="0"/>
        <w:adjustRightInd w:val="0"/>
        <w:snapToGrid w:val="0"/>
        <w:spacing w:line="360" w:lineRule="auto"/>
        <w:ind w:left="850" w:leftChars="405"/>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结算总价=</w:t>
      </w:r>
      <w:r>
        <w:rPr>
          <w:rFonts w:hint="eastAsia" w:ascii="宋体" w:hAnsi="宋体" w:eastAsia="宋体" w:cs="宋体"/>
          <w:b w:val="0"/>
          <w:bCs/>
          <w:color w:val="000000" w:themeColor="text1"/>
          <w:sz w:val="24"/>
          <w:szCs w:val="24"/>
          <w:highlight w:val="none"/>
          <w14:textFill>
            <w14:solidFill>
              <w14:schemeClr w14:val="tx1"/>
            </w14:solidFill>
          </w14:textFill>
        </w:rPr>
        <w:t>建筑规划许可证面积</w:t>
      </w:r>
      <w:r>
        <w:rPr>
          <w:rFonts w:hint="eastAsia" w:ascii="宋体" w:hAnsi="宋体" w:eastAsia="宋体" w:cs="宋体"/>
          <w:color w:val="auto"/>
          <w:kern w:val="0"/>
          <w:sz w:val="24"/>
          <w:szCs w:val="24"/>
          <w:highlight w:val="none"/>
          <w:lang w:val="en-US" w:eastAsia="zh-CN"/>
        </w:rPr>
        <w:t>×合同综合单价±变更</w:t>
      </w:r>
      <w:r>
        <w:rPr>
          <w:rFonts w:hint="eastAsia" w:ascii="宋体" w:hAnsi="宋体" w:cs="宋体"/>
          <w:color w:val="auto"/>
          <w:kern w:val="0"/>
          <w:sz w:val="24"/>
          <w:szCs w:val="24"/>
          <w:highlight w:val="none"/>
          <w:lang w:val="en-US" w:eastAsia="zh-CN"/>
        </w:rPr>
        <w:t>签证</w:t>
      </w:r>
      <w:r>
        <w:rPr>
          <w:rFonts w:hint="eastAsia" w:ascii="宋体" w:hAnsi="宋体" w:eastAsia="宋体" w:cs="宋体"/>
          <w:color w:val="auto"/>
          <w:kern w:val="0"/>
          <w:sz w:val="24"/>
          <w:szCs w:val="24"/>
          <w:highlight w:val="none"/>
          <w:lang w:val="en-US" w:eastAsia="zh-CN"/>
        </w:rPr>
        <w:t>增减费用-违约金</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罚款。</w:t>
      </w:r>
    </w:p>
    <w:p w14:paraId="0866EC1C">
      <w:pPr>
        <w:keepNext/>
        <w:keepLines/>
        <w:pageBreakBefore w:val="0"/>
        <w:widowControl w:val="0"/>
        <w:numPr>
          <w:ilvl w:val="0"/>
          <w:numId w:val="40"/>
        </w:numPr>
        <w:tabs>
          <w:tab w:val="left" w:pos="851"/>
        </w:tabs>
        <w:kinsoku w:val="0"/>
        <w:wordWrap/>
        <w:overflowPunct w:val="0"/>
        <w:topLinePunct w:val="0"/>
        <w:autoSpaceDE w:val="0"/>
        <w:autoSpaceDN w:val="0"/>
        <w:bidi w:val="0"/>
        <w:adjustRightInd/>
        <w:snapToGrid/>
        <w:spacing w:before="157" w:beforeLines="50" w:after="157" w:afterLines="50" w:line="300" w:lineRule="auto"/>
        <w:ind w:left="0" w:leftChars="0" w:firstLine="0" w:firstLineChars="0"/>
        <w:jc w:val="left"/>
        <w:textAlignment w:val="auto"/>
        <w:outlineLvl w:val="1"/>
        <w:rPr>
          <w:rFonts w:hint="default" w:ascii="宋体" w:hAnsi="宋体" w:cs="宋体"/>
          <w:b/>
          <w:bCs/>
          <w:snapToGrid w:val="0"/>
          <w:color w:val="000000" w:themeColor="text1"/>
          <w:sz w:val="24"/>
          <w:szCs w:val="24"/>
          <w:lang w:val="en-US" w:eastAsia="zh-CN"/>
          <w14:textFill>
            <w14:solidFill>
              <w14:schemeClr w14:val="tx1"/>
            </w14:solidFill>
          </w14:textFill>
        </w:rPr>
      </w:pPr>
      <w:bookmarkStart w:id="351" w:name="_Toc9657"/>
      <w:bookmarkStart w:id="352" w:name="_Toc16655"/>
      <w:r>
        <w:rPr>
          <w:rFonts w:hint="eastAsia" w:ascii="宋体" w:hAnsi="宋体" w:cs="宋体"/>
          <w:b/>
          <w:bCs/>
          <w:snapToGrid w:val="0"/>
          <w:color w:val="000000" w:themeColor="text1"/>
          <w:sz w:val="24"/>
          <w:szCs w:val="24"/>
          <w:lang w:val="en-US" w:eastAsia="zh-CN"/>
          <w14:textFill>
            <w14:solidFill>
              <w14:schemeClr w14:val="tx1"/>
            </w14:solidFill>
          </w14:textFill>
        </w:rPr>
        <w:t>总监理工程师</w:t>
      </w:r>
      <w:bookmarkEnd w:id="351"/>
      <w:bookmarkEnd w:id="352"/>
    </w:p>
    <w:p w14:paraId="171B20DD">
      <w:pPr>
        <w:pStyle w:val="170"/>
        <w:pageBreakBefore w:val="0"/>
        <w:widowControl w:val="0"/>
        <w:numPr>
          <w:ilvl w:val="0"/>
          <w:numId w:val="0"/>
        </w:numPr>
        <w:kinsoku w:val="0"/>
        <w:wordWrap/>
        <w:overflowPunct w:val="0"/>
        <w:topLinePunct w:val="0"/>
        <w:autoSpaceDE w:val="0"/>
        <w:autoSpaceDN w:val="0"/>
        <w:bidi w:val="0"/>
        <w:spacing w:before="0" w:after="0" w:afterAutospacing="0" w:line="300" w:lineRule="auto"/>
        <w:ind w:left="1691" w:leftChars="400"/>
        <w:textAlignment w:val="auto"/>
        <w:rPr>
          <w:rFonts w:hint="default" w:ascii="宋体" w:hAnsi="宋体" w:eastAsia="宋体" w:cs="宋体"/>
          <w:b w:val="0"/>
          <w:bCs w:val="0"/>
          <w:color w:val="000000"/>
          <w:sz w:val="24"/>
          <w:szCs w:val="24"/>
          <w:highlight w:val="none"/>
          <w:lang w:val="en-US" w:eastAsia="zh-CN"/>
        </w:rPr>
      </w:pPr>
      <w:bookmarkStart w:id="353" w:name="_Toc28206"/>
      <w:bookmarkStart w:id="354" w:name="_Toc30163"/>
      <w:r>
        <w:rPr>
          <w:rFonts w:hint="eastAsia" w:ascii="宋体" w:hAnsi="宋体" w:eastAsia="宋体" w:cs="宋体"/>
          <w:b w:val="0"/>
          <w:bCs w:val="0"/>
          <w:color w:val="000000"/>
          <w:sz w:val="24"/>
          <w:szCs w:val="24"/>
          <w:highlight w:val="none"/>
        </w:rPr>
        <w:t>总监理工程师姓名：</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rPr>
        <w:t>，身份证号码：</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rPr>
        <w:t>，注册号：</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rPr>
        <w:t>，联系方式：</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u w:val="none"/>
          <w:lang w:val="en-US" w:eastAsia="zh-CN"/>
        </w:rPr>
        <w:t>。</w:t>
      </w:r>
      <w:bookmarkEnd w:id="353"/>
      <w:bookmarkEnd w:id="354"/>
      <w:r>
        <w:rPr>
          <w:rFonts w:hint="eastAsia" w:ascii="宋体" w:hAnsi="宋体" w:eastAsia="宋体" w:cs="宋体"/>
          <w:b w:val="0"/>
          <w:bCs w:val="0"/>
          <w:color w:val="000000"/>
          <w:sz w:val="24"/>
          <w:szCs w:val="24"/>
          <w:highlight w:val="none"/>
          <w:lang w:val="en-US" w:eastAsia="zh-CN"/>
        </w:rPr>
        <w:t xml:space="preserve">      </w:t>
      </w:r>
    </w:p>
    <w:p w14:paraId="20F99715">
      <w:pPr>
        <w:keepNext/>
        <w:keepLines/>
        <w:pageBreakBefore w:val="0"/>
        <w:widowControl w:val="0"/>
        <w:numPr>
          <w:ilvl w:val="0"/>
          <w:numId w:val="40"/>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355" w:name="_Toc341124909"/>
      <w:bookmarkStart w:id="356" w:name="_Toc8952"/>
      <w:bookmarkStart w:id="357" w:name="_Toc22490"/>
      <w:bookmarkStart w:id="358" w:name="_Toc32299"/>
      <w:bookmarkStart w:id="359" w:name="_Toc13613"/>
      <w:bookmarkStart w:id="360" w:name="_Toc29323"/>
      <w:bookmarkStart w:id="361" w:name="_Toc349"/>
      <w:bookmarkStart w:id="362" w:name="_Toc18688"/>
      <w:bookmarkStart w:id="363" w:name="_Toc3283"/>
      <w:bookmarkStart w:id="364" w:name="_Toc4451"/>
      <w:r>
        <w:rPr>
          <w:rFonts w:hint="eastAsia" w:ascii="宋体" w:hAnsi="宋体" w:cs="宋体"/>
          <w:b/>
          <w:bCs/>
          <w:snapToGrid w:val="0"/>
          <w:color w:val="000000" w:themeColor="text1"/>
          <w:sz w:val="24"/>
          <w:szCs w:val="24"/>
          <w:lang w:val="en-US" w:eastAsia="zh-CN"/>
          <w14:textFill>
            <w14:solidFill>
              <w14:schemeClr w14:val="tx1"/>
            </w14:solidFill>
          </w14:textFill>
        </w:rPr>
        <w:t>合同文件</w:t>
      </w:r>
      <w:bookmarkEnd w:id="355"/>
      <w:bookmarkEnd w:id="356"/>
      <w:bookmarkEnd w:id="357"/>
      <w:bookmarkEnd w:id="358"/>
      <w:bookmarkEnd w:id="359"/>
      <w:r>
        <w:rPr>
          <w:rFonts w:hint="eastAsia" w:ascii="宋体" w:hAnsi="宋体" w:cs="宋体"/>
          <w:b/>
          <w:bCs/>
          <w:snapToGrid w:val="0"/>
          <w:color w:val="000000" w:themeColor="text1"/>
          <w:sz w:val="24"/>
          <w:szCs w:val="24"/>
          <w:lang w:val="en-US" w:eastAsia="zh-CN"/>
          <w14:textFill>
            <w14:solidFill>
              <w14:schemeClr w14:val="tx1"/>
            </w14:solidFill>
          </w14:textFill>
        </w:rPr>
        <w:t>构成</w:t>
      </w:r>
      <w:bookmarkEnd w:id="360"/>
      <w:bookmarkEnd w:id="361"/>
      <w:bookmarkEnd w:id="362"/>
      <w:bookmarkEnd w:id="363"/>
      <w:bookmarkEnd w:id="364"/>
    </w:p>
    <w:p w14:paraId="7621AFAB">
      <w:pPr>
        <w:keepNext w:val="0"/>
        <w:keepLines w:val="0"/>
        <w:pageBreakBefore w:val="0"/>
        <w:widowControl w:val="0"/>
        <w:numPr>
          <w:ilvl w:val="0"/>
          <w:numId w:val="45"/>
        </w:numPr>
        <w:tabs>
          <w:tab w:val="left" w:pos="851"/>
        </w:tabs>
        <w:kinsoku/>
        <w:wordWrap/>
        <w:overflowPunct/>
        <w:topLinePunct w:val="0"/>
        <w:autoSpaceDE/>
        <w:autoSpaceDN/>
        <w:bidi w:val="0"/>
        <w:adjustRightInd/>
        <w:snapToGrid/>
        <w:spacing w:line="300" w:lineRule="auto"/>
        <w:ind w:left="703" w:leftChars="135" w:hanging="420" w:firstLineChars="0"/>
        <w:textAlignment w:val="auto"/>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cs="宋体"/>
          <w:snapToGrid w:val="0"/>
          <w:color w:val="000000" w:themeColor="text1"/>
          <w:sz w:val="24"/>
          <w:szCs w:val="24"/>
          <w:lang w:val="en-US" w:eastAsia="zh-CN"/>
          <w14:textFill>
            <w14:solidFill>
              <w14:schemeClr w14:val="tx1"/>
            </w14:solidFill>
          </w14:textFill>
        </w:rPr>
        <w:t>本协议书与下列文件一起构成合同文件</w:t>
      </w:r>
      <w:r>
        <w:rPr>
          <w:rFonts w:hint="eastAsia" w:ascii="宋体" w:hAnsi="宋体" w:eastAsia="宋体" w:cs="宋体"/>
          <w:snapToGrid w:val="0"/>
          <w:color w:val="000000" w:themeColor="text1"/>
          <w:sz w:val="24"/>
          <w:szCs w:val="24"/>
          <w14:textFill>
            <w14:solidFill>
              <w14:schemeClr w14:val="tx1"/>
            </w14:solidFill>
          </w14:textFill>
        </w:rPr>
        <w:t>：</w:t>
      </w:r>
    </w:p>
    <w:p w14:paraId="26E979E9">
      <w:pPr>
        <w:numPr>
          <w:ilvl w:val="0"/>
          <w:numId w:val="46"/>
        </w:numPr>
        <w:tabs>
          <w:tab w:val="left" w:pos="851"/>
        </w:tabs>
        <w:spacing w:line="300" w:lineRule="auto"/>
        <w:ind w:left="851" w:hanging="567"/>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合同专用条款；</w:t>
      </w:r>
    </w:p>
    <w:p w14:paraId="473383D7">
      <w:pPr>
        <w:numPr>
          <w:ilvl w:val="0"/>
          <w:numId w:val="46"/>
        </w:numPr>
        <w:tabs>
          <w:tab w:val="left" w:pos="851"/>
        </w:tabs>
        <w:spacing w:line="300" w:lineRule="auto"/>
        <w:ind w:left="851" w:hanging="567"/>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cs="宋体"/>
          <w:snapToGrid w:val="0"/>
          <w:color w:val="000000" w:themeColor="text1"/>
          <w:sz w:val="24"/>
          <w:szCs w:val="24"/>
          <w:lang w:val="en-US" w:eastAsia="zh-CN"/>
          <w14:textFill>
            <w14:solidFill>
              <w14:schemeClr w14:val="tx1"/>
            </w14:solidFill>
          </w14:textFill>
        </w:rPr>
        <w:t>通用合同条款</w:t>
      </w:r>
    </w:p>
    <w:p w14:paraId="1E76C819">
      <w:pPr>
        <w:numPr>
          <w:ilvl w:val="0"/>
          <w:numId w:val="46"/>
        </w:numPr>
        <w:tabs>
          <w:tab w:val="left" w:pos="851"/>
        </w:tabs>
        <w:spacing w:line="300" w:lineRule="auto"/>
        <w:ind w:left="851" w:hanging="567"/>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技术标准和工程建设标准；</w:t>
      </w:r>
    </w:p>
    <w:p w14:paraId="7962834F">
      <w:pPr>
        <w:numPr>
          <w:ilvl w:val="0"/>
          <w:numId w:val="46"/>
        </w:numPr>
        <w:tabs>
          <w:tab w:val="left" w:pos="851"/>
        </w:tabs>
        <w:spacing w:line="300" w:lineRule="auto"/>
        <w:ind w:left="851" w:hanging="567"/>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合同清单；</w:t>
      </w:r>
    </w:p>
    <w:p w14:paraId="7D38D147">
      <w:pPr>
        <w:numPr>
          <w:ilvl w:val="0"/>
          <w:numId w:val="46"/>
        </w:numPr>
        <w:tabs>
          <w:tab w:val="left" w:pos="851"/>
        </w:tabs>
        <w:spacing w:line="300" w:lineRule="auto"/>
        <w:ind w:left="851" w:hanging="567"/>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sz w:val="24"/>
          <w:szCs w:val="24"/>
          <w14:textFill>
            <w14:solidFill>
              <w14:schemeClr w14:val="tx1"/>
            </w14:solidFill>
          </w14:textFill>
        </w:rPr>
        <w:t>合同附件；</w:t>
      </w:r>
    </w:p>
    <w:p w14:paraId="13A8C60A">
      <w:pPr>
        <w:numPr>
          <w:ilvl w:val="0"/>
          <w:numId w:val="47"/>
        </w:numPr>
        <w:tabs>
          <w:tab w:val="left" w:pos="840"/>
        </w:tabs>
        <w:spacing w:line="300" w:lineRule="auto"/>
        <w:ind w:left="851" w:hanging="56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在合同订立及履行过程中形成的与合同有关的文件均构成合同文件组成部分。</w:t>
      </w:r>
    </w:p>
    <w:p w14:paraId="34C980BB">
      <w:pPr>
        <w:numPr>
          <w:ilvl w:val="0"/>
          <w:numId w:val="47"/>
        </w:numPr>
        <w:tabs>
          <w:tab w:val="left" w:pos="840"/>
        </w:tabs>
        <w:spacing w:line="300" w:lineRule="auto"/>
        <w:ind w:left="851" w:hanging="56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在合同履行过程中，由双方共同签署(必须加盖公章)的补充协议(公章或合同专用章)、会议纪要、备忘录及其他文件，以及</w:t>
      </w:r>
      <w:r>
        <w:rPr>
          <w:rFonts w:hint="eastAsia" w:ascii="宋体" w:hAnsi="宋体" w:cs="宋体"/>
          <w:color w:val="000000" w:themeColor="text1"/>
          <w:sz w:val="24"/>
          <w:szCs w:val="24"/>
          <w:lang w:eastAsia="zh-CN"/>
          <w14:textFill>
            <w14:solidFill>
              <w14:schemeClr w14:val="tx1"/>
            </w14:solidFill>
          </w14:textFill>
        </w:rPr>
        <w:t>发包人</w:t>
      </w:r>
      <w:r>
        <w:rPr>
          <w:rFonts w:hint="eastAsia" w:ascii="宋体" w:hAnsi="宋体" w:eastAsia="宋体" w:cs="宋体"/>
          <w:color w:val="000000" w:themeColor="text1"/>
          <w:sz w:val="24"/>
          <w:szCs w:val="24"/>
          <w14:textFill>
            <w14:solidFill>
              <w14:schemeClr w14:val="tx1"/>
            </w14:solidFill>
          </w14:textFill>
        </w:rPr>
        <w:t>发出的有关工程的洽商、变更、各类通知单等书面协议或文件,或双方往来函件均视为本合同组成部分。</w:t>
      </w:r>
    </w:p>
    <w:p w14:paraId="1A7BFF6F">
      <w:pPr>
        <w:numPr>
          <w:ilvl w:val="0"/>
          <w:numId w:val="47"/>
        </w:numPr>
        <w:tabs>
          <w:tab w:val="left" w:pos="840"/>
        </w:tabs>
        <w:spacing w:line="300" w:lineRule="auto"/>
        <w:ind w:left="851" w:hanging="56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上述文件是相互说明、相互解释的，如出现不一致时，上述的排列顺序就是合同的解释顺序，如规范与图纸不符时，须经</w:t>
      </w:r>
      <w:r>
        <w:rPr>
          <w:rFonts w:hint="eastAsia" w:ascii="宋体" w:hAnsi="宋体" w:cs="宋体"/>
          <w:color w:val="000000" w:themeColor="text1"/>
          <w:sz w:val="24"/>
          <w:szCs w:val="24"/>
          <w:lang w:eastAsia="zh-CN"/>
          <w14:textFill>
            <w14:solidFill>
              <w14:schemeClr w14:val="tx1"/>
            </w14:solidFill>
          </w14:textFill>
        </w:rPr>
        <w:t>发包人</w:t>
      </w:r>
      <w:r>
        <w:rPr>
          <w:rFonts w:hint="eastAsia" w:ascii="宋体" w:hAnsi="宋体" w:eastAsia="宋体" w:cs="宋体"/>
          <w:color w:val="000000" w:themeColor="text1"/>
          <w:sz w:val="24"/>
          <w:szCs w:val="24"/>
          <w14:textFill>
            <w14:solidFill>
              <w14:schemeClr w14:val="tx1"/>
            </w14:solidFill>
          </w14:textFill>
        </w:rPr>
        <w:t>确认后方可按规范施工；如果合同文件出现模糊、矛盾或不一致之处或合同文件中出现明显错误时，均应当以</w:t>
      </w:r>
      <w:r>
        <w:rPr>
          <w:rFonts w:hint="eastAsia" w:ascii="宋体" w:hAnsi="宋体" w:cs="宋体"/>
          <w:color w:val="000000" w:themeColor="text1"/>
          <w:sz w:val="24"/>
          <w:szCs w:val="24"/>
          <w:lang w:eastAsia="zh-CN"/>
          <w14:textFill>
            <w14:solidFill>
              <w14:schemeClr w14:val="tx1"/>
            </w14:solidFill>
          </w14:textFill>
        </w:rPr>
        <w:t>发包人</w:t>
      </w:r>
      <w:r>
        <w:rPr>
          <w:rFonts w:hint="eastAsia" w:ascii="宋体" w:hAnsi="宋体" w:eastAsia="宋体" w:cs="宋体"/>
          <w:color w:val="000000" w:themeColor="text1"/>
          <w:sz w:val="24"/>
          <w:szCs w:val="24"/>
          <w14:textFill>
            <w14:solidFill>
              <w14:schemeClr w14:val="tx1"/>
            </w14:solidFill>
          </w14:textFill>
        </w:rPr>
        <w:t>的解释和澄清为准。</w:t>
      </w:r>
    </w:p>
    <w:p w14:paraId="05D54AB3">
      <w:pPr>
        <w:numPr>
          <w:ilvl w:val="0"/>
          <w:numId w:val="47"/>
        </w:numPr>
        <w:tabs>
          <w:tab w:val="left" w:pos="840"/>
        </w:tabs>
        <w:spacing w:line="300" w:lineRule="auto"/>
        <w:ind w:left="851" w:hanging="56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双方在履行本合同过程中的各种往来函件、签证、会议纪要、通知等一切书面文件，凡仅有</w:t>
      </w:r>
      <w:r>
        <w:rPr>
          <w:rFonts w:hint="eastAsia" w:ascii="宋体" w:hAnsi="宋体" w:cs="宋体"/>
          <w:color w:val="000000" w:themeColor="text1"/>
          <w:sz w:val="24"/>
          <w:szCs w:val="24"/>
          <w:lang w:eastAsia="zh-CN"/>
          <w14:textFill>
            <w14:solidFill>
              <w14:schemeClr w14:val="tx1"/>
            </w14:solidFill>
          </w14:textFill>
        </w:rPr>
        <w:t>发包人</w:t>
      </w:r>
      <w:r>
        <w:rPr>
          <w:rFonts w:hint="eastAsia" w:ascii="宋体" w:hAnsi="宋体" w:eastAsia="宋体" w:cs="宋体"/>
          <w:color w:val="000000" w:themeColor="text1"/>
          <w:sz w:val="24"/>
          <w:szCs w:val="24"/>
          <w14:textFill>
            <w14:solidFill>
              <w14:schemeClr w14:val="tx1"/>
            </w14:solidFill>
          </w14:textFill>
        </w:rPr>
        <w:t>工作人员签字而未加盖</w:t>
      </w:r>
      <w:r>
        <w:rPr>
          <w:rFonts w:hint="eastAsia" w:ascii="宋体" w:hAnsi="宋体" w:cs="宋体"/>
          <w:color w:val="000000" w:themeColor="text1"/>
          <w:sz w:val="24"/>
          <w:szCs w:val="24"/>
          <w:lang w:eastAsia="zh-CN"/>
          <w14:textFill>
            <w14:solidFill>
              <w14:schemeClr w14:val="tx1"/>
            </w14:solidFill>
          </w14:textFill>
        </w:rPr>
        <w:t>发包人</w:t>
      </w:r>
      <w:r>
        <w:rPr>
          <w:rFonts w:hint="eastAsia" w:ascii="宋体" w:hAnsi="宋体" w:eastAsia="宋体" w:cs="宋体"/>
          <w:color w:val="000000" w:themeColor="text1"/>
          <w:sz w:val="24"/>
          <w:szCs w:val="24"/>
          <w14:textFill>
            <w14:solidFill>
              <w14:schemeClr w14:val="tx1"/>
            </w14:solidFill>
          </w14:textFill>
        </w:rPr>
        <w:t>公章的，均无法律效力，不得作为证据使用，亦不得作为本合同的变更和补充或新合同成立之证据。电子数据文档，不作为书面文件，也不能作为有效证据。</w:t>
      </w:r>
    </w:p>
    <w:p w14:paraId="0E31D6D8">
      <w:pPr>
        <w:keepNext/>
        <w:keepLines/>
        <w:pageBreakBefore w:val="0"/>
        <w:widowControl w:val="0"/>
        <w:numPr>
          <w:ilvl w:val="0"/>
          <w:numId w:val="40"/>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365" w:name="_Toc19245"/>
      <w:bookmarkStart w:id="366" w:name="_Toc19324"/>
      <w:bookmarkStart w:id="367" w:name="_Toc9514"/>
      <w:bookmarkStart w:id="368" w:name="_Toc154"/>
      <w:bookmarkStart w:id="369" w:name="_Toc14441"/>
      <w:bookmarkStart w:id="370" w:name="_Toc27506"/>
      <w:bookmarkStart w:id="371" w:name="_Toc13122"/>
      <w:bookmarkStart w:id="372" w:name="_Toc21403"/>
      <w:bookmarkStart w:id="373" w:name="_Toc19004"/>
      <w:r>
        <w:rPr>
          <w:rFonts w:hint="eastAsia" w:ascii="宋体" w:hAnsi="宋体" w:cs="宋体"/>
          <w:b/>
          <w:bCs/>
          <w:snapToGrid w:val="0"/>
          <w:color w:val="000000" w:themeColor="text1"/>
          <w:sz w:val="24"/>
          <w:szCs w:val="24"/>
          <w:lang w:val="en-US" w:eastAsia="zh-CN"/>
          <w14:textFill>
            <w14:solidFill>
              <w14:schemeClr w14:val="tx1"/>
            </w14:solidFill>
          </w14:textFill>
        </w:rPr>
        <w:t>承诺</w:t>
      </w:r>
      <w:bookmarkEnd w:id="365"/>
      <w:bookmarkEnd w:id="366"/>
      <w:bookmarkEnd w:id="367"/>
      <w:bookmarkEnd w:id="368"/>
      <w:bookmarkEnd w:id="369"/>
      <w:bookmarkEnd w:id="370"/>
      <w:bookmarkEnd w:id="371"/>
      <w:bookmarkEnd w:id="372"/>
      <w:bookmarkEnd w:id="373"/>
    </w:p>
    <w:p w14:paraId="7C177FEB">
      <w:pPr>
        <w:keepNext w:val="0"/>
        <w:keepLines w:val="0"/>
        <w:pageBreakBefore w:val="0"/>
        <w:widowControl w:val="0"/>
        <w:numPr>
          <w:ilvl w:val="0"/>
          <w:numId w:val="48"/>
        </w:numPr>
        <w:tabs>
          <w:tab w:val="left" w:pos="840"/>
        </w:tabs>
        <w:kinsoku/>
        <w:wordWrap/>
        <w:overflowPunct/>
        <w:topLinePunct w:val="0"/>
        <w:autoSpaceDE/>
        <w:autoSpaceDN/>
        <w:bidi w:val="0"/>
        <w:adjustRightInd/>
        <w:snapToGrid/>
        <w:spacing w:line="300" w:lineRule="auto"/>
        <w:ind w:left="850" w:leftChars="0" w:hanging="567"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cs="Times New Roman"/>
          <w:snapToGrid w:val="0"/>
          <w:color w:val="auto"/>
          <w:kern w:val="0"/>
          <w:sz w:val="24"/>
          <w:szCs w:val="24"/>
          <w:highlight w:val="none"/>
        </w:rPr>
        <w:t>监理人向委托人承诺，按照本合同约定提供监理与相关服务。</w:t>
      </w:r>
    </w:p>
    <w:p w14:paraId="455CAD9A">
      <w:pPr>
        <w:keepNext w:val="0"/>
        <w:keepLines w:val="0"/>
        <w:pageBreakBefore w:val="0"/>
        <w:widowControl w:val="0"/>
        <w:numPr>
          <w:ilvl w:val="0"/>
          <w:numId w:val="48"/>
        </w:numPr>
        <w:tabs>
          <w:tab w:val="left" w:pos="840"/>
        </w:tabs>
        <w:kinsoku/>
        <w:wordWrap/>
        <w:overflowPunct/>
        <w:topLinePunct w:val="0"/>
        <w:autoSpaceDE/>
        <w:autoSpaceDN/>
        <w:bidi w:val="0"/>
        <w:adjustRightInd/>
        <w:snapToGrid/>
        <w:spacing w:line="300" w:lineRule="auto"/>
        <w:ind w:left="850" w:leftChars="0" w:hanging="567" w:firstLineChars="0"/>
        <w:textAlignment w:val="auto"/>
        <w:rPr>
          <w:rFonts w:hint="eastAsia" w:ascii="宋体" w:hAnsi="Times New Roman" w:eastAsia="宋体" w:cs="Times New Roman"/>
          <w:snapToGrid w:val="0"/>
          <w:color w:val="auto"/>
          <w:kern w:val="0"/>
          <w:sz w:val="24"/>
          <w:szCs w:val="24"/>
          <w:highlight w:val="none"/>
        </w:rPr>
      </w:pPr>
      <w:r>
        <w:rPr>
          <w:rFonts w:hint="eastAsia" w:ascii="宋体" w:hAnsi="Times New Roman" w:eastAsia="宋体" w:cs="Times New Roman"/>
          <w:snapToGrid w:val="0"/>
          <w:color w:val="auto"/>
          <w:kern w:val="0"/>
          <w:sz w:val="24"/>
          <w:szCs w:val="24"/>
          <w:highlight w:val="none"/>
        </w:rPr>
        <w:t>委托人向监理人承诺，按照本合同约定派遣</w:t>
      </w:r>
      <w:r>
        <w:rPr>
          <w:rFonts w:hint="eastAsia" w:ascii="宋体" w:hAnsi="Times New Roman" w:eastAsia="宋体" w:cs="Times New Roman"/>
          <w:snapToGrid w:val="0"/>
          <w:color w:val="auto"/>
          <w:kern w:val="0"/>
          <w:sz w:val="24"/>
          <w:szCs w:val="24"/>
          <w:highlight w:val="none"/>
          <w:lang w:val="en-US" w:eastAsia="zh-CN"/>
        </w:rPr>
        <w:t>相应专业的现场监理工程师</w:t>
      </w:r>
      <w:r>
        <w:rPr>
          <w:rFonts w:hint="eastAsia" w:ascii="宋体" w:hAnsi="Times New Roman" w:eastAsia="宋体" w:cs="Times New Roman"/>
          <w:snapToGrid w:val="0"/>
          <w:color w:val="auto"/>
          <w:kern w:val="0"/>
          <w:sz w:val="24"/>
          <w:szCs w:val="24"/>
          <w:highlight w:val="none"/>
        </w:rPr>
        <w:t>，</w:t>
      </w:r>
      <w:r>
        <w:rPr>
          <w:rFonts w:hint="eastAsia" w:ascii="宋体" w:hAnsi="Times New Roman" w:eastAsia="宋体" w:cs="Times New Roman"/>
          <w:snapToGrid w:val="0"/>
          <w:color w:val="auto"/>
          <w:kern w:val="0"/>
          <w:sz w:val="24"/>
          <w:szCs w:val="24"/>
          <w:highlight w:val="none"/>
          <w:lang w:val="en-US" w:eastAsia="zh-CN"/>
        </w:rPr>
        <w:t>根据（渝建质安【2021】63号文监理“十不准”）向监理人</w:t>
      </w:r>
      <w:r>
        <w:rPr>
          <w:rFonts w:hint="eastAsia" w:ascii="宋体" w:hAnsi="Times New Roman" w:eastAsia="宋体" w:cs="Times New Roman"/>
          <w:snapToGrid w:val="0"/>
          <w:color w:val="auto"/>
          <w:kern w:val="0"/>
          <w:sz w:val="24"/>
          <w:szCs w:val="24"/>
          <w:highlight w:val="none"/>
        </w:rPr>
        <w:t>提供</w:t>
      </w:r>
      <w:r>
        <w:rPr>
          <w:rFonts w:hint="eastAsia" w:ascii="宋体" w:hAnsi="Times New Roman" w:eastAsia="宋体" w:cs="Times New Roman"/>
          <w:snapToGrid w:val="0"/>
          <w:color w:val="auto"/>
          <w:kern w:val="0"/>
          <w:sz w:val="24"/>
          <w:szCs w:val="24"/>
          <w:highlight w:val="none"/>
          <w:lang w:val="en-US" w:eastAsia="zh-CN"/>
        </w:rPr>
        <w:t>办公、生活用房等设施</w:t>
      </w:r>
      <w:r>
        <w:rPr>
          <w:rFonts w:hint="eastAsia" w:ascii="宋体" w:hAnsi="Times New Roman" w:eastAsia="宋体" w:cs="Times New Roman"/>
          <w:snapToGrid w:val="0"/>
          <w:color w:val="auto"/>
          <w:kern w:val="0"/>
          <w:sz w:val="24"/>
          <w:szCs w:val="24"/>
          <w:highlight w:val="none"/>
        </w:rPr>
        <w:t>设备，并按本合同约定支付酬金。</w:t>
      </w:r>
    </w:p>
    <w:p w14:paraId="08D052CB">
      <w:pPr>
        <w:keepNext/>
        <w:keepLines/>
        <w:pageBreakBefore w:val="0"/>
        <w:widowControl w:val="0"/>
        <w:numPr>
          <w:ilvl w:val="0"/>
          <w:numId w:val="40"/>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374" w:name="_Toc751"/>
      <w:bookmarkStart w:id="375" w:name="_Toc7479"/>
      <w:bookmarkStart w:id="376" w:name="_Toc7854"/>
      <w:bookmarkStart w:id="377" w:name="_Toc537"/>
      <w:bookmarkStart w:id="378" w:name="_Toc25491"/>
      <w:bookmarkStart w:id="379" w:name="_Toc11004"/>
      <w:bookmarkStart w:id="380" w:name="_Toc341124916"/>
      <w:bookmarkStart w:id="381" w:name="_Toc5128"/>
      <w:bookmarkStart w:id="382" w:name="_Toc2329"/>
      <w:bookmarkStart w:id="383" w:name="_Toc13059"/>
      <w:r>
        <w:rPr>
          <w:rFonts w:hint="eastAsia" w:ascii="宋体" w:hAnsi="宋体" w:cs="宋体"/>
          <w:b/>
          <w:bCs/>
          <w:snapToGrid w:val="0"/>
          <w:color w:val="000000" w:themeColor="text1"/>
          <w:sz w:val="24"/>
          <w:szCs w:val="24"/>
          <w:lang w:val="en-US" w:eastAsia="zh-CN"/>
          <w14:textFill>
            <w14:solidFill>
              <w14:schemeClr w14:val="tx1"/>
            </w14:solidFill>
          </w14:textFill>
        </w:rPr>
        <w:t>本协议书中词语含义与第三部分通用合同条款中赋予的含义相同。</w:t>
      </w:r>
      <w:bookmarkEnd w:id="374"/>
      <w:bookmarkEnd w:id="375"/>
      <w:bookmarkEnd w:id="376"/>
      <w:bookmarkEnd w:id="377"/>
      <w:bookmarkEnd w:id="378"/>
    </w:p>
    <w:p w14:paraId="55F08069">
      <w:pPr>
        <w:keepNext/>
        <w:keepLines/>
        <w:pageBreakBefore w:val="0"/>
        <w:widowControl w:val="0"/>
        <w:numPr>
          <w:ilvl w:val="0"/>
          <w:numId w:val="40"/>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384" w:name="_Toc351203489"/>
      <w:bookmarkStart w:id="385" w:name="_Toc9720"/>
      <w:bookmarkStart w:id="386" w:name="_Toc7325"/>
      <w:bookmarkStart w:id="387" w:name="_Toc26908"/>
      <w:bookmarkStart w:id="388" w:name="_Toc2801"/>
      <w:bookmarkStart w:id="389" w:name="_Toc27219"/>
      <w:r>
        <w:rPr>
          <w:rFonts w:hint="eastAsia" w:ascii="宋体" w:hAnsi="宋体" w:cs="宋体"/>
          <w:b/>
          <w:bCs/>
          <w:snapToGrid w:val="0"/>
          <w:color w:val="000000" w:themeColor="text1"/>
          <w:sz w:val="24"/>
          <w:szCs w:val="24"/>
          <w:lang w:val="en-US" w:eastAsia="zh-CN"/>
          <w14:textFill>
            <w14:solidFill>
              <w14:schemeClr w14:val="tx1"/>
            </w14:solidFill>
          </w14:textFill>
        </w:rPr>
        <w:t>签订时间</w:t>
      </w:r>
      <w:bookmarkEnd w:id="384"/>
      <w:bookmarkEnd w:id="385"/>
      <w:bookmarkEnd w:id="386"/>
      <w:bookmarkEnd w:id="387"/>
      <w:bookmarkEnd w:id="388"/>
      <w:bookmarkEnd w:id="389"/>
    </w:p>
    <w:p w14:paraId="49F8212F">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rPr>
      </w:pPr>
      <w:bookmarkStart w:id="390" w:name="_Toc6177"/>
      <w:bookmarkStart w:id="391" w:name="_Toc9371"/>
      <w:bookmarkStart w:id="392" w:name="_Toc146"/>
      <w:bookmarkStart w:id="393" w:name="_Toc503"/>
      <w:bookmarkStart w:id="394" w:name="_Toc1106"/>
      <w:r>
        <w:rPr>
          <w:rFonts w:hint="eastAsia" w:ascii="宋体" w:hAnsi="宋体" w:eastAsia="宋体" w:cs="宋体"/>
          <w:b w:val="0"/>
          <w:bCs w:val="0"/>
          <w:color w:val="000000"/>
          <w:sz w:val="24"/>
          <w:szCs w:val="24"/>
          <w:highlight w:val="none"/>
        </w:rPr>
        <w:t>本合同于</w:t>
      </w:r>
      <w:r>
        <w:rPr>
          <w:rFonts w:hint="eastAsia" w:ascii="宋体" w:hAnsi="宋体" w:eastAsia="宋体" w:cs="宋体"/>
          <w:b w:val="0"/>
          <w:bCs w:val="0"/>
          <w:color w:val="000000"/>
          <w:sz w:val="24"/>
          <w:szCs w:val="24"/>
          <w:highlight w:val="none"/>
          <w:u w:val="single"/>
        </w:rPr>
        <w:t xml:space="preserve"> </w:t>
      </w:r>
      <w:r>
        <w:rPr>
          <w:rFonts w:hint="eastAsia" w:cs="宋体"/>
          <w:b w:val="0"/>
          <w:bCs w:val="0"/>
          <w:color w:val="000000"/>
          <w:sz w:val="24"/>
          <w:szCs w:val="24"/>
          <w:highlight w:val="none"/>
          <w:u w:val="single"/>
          <w:lang w:val="en-US" w:eastAsia="zh-CN"/>
        </w:rPr>
        <w:t>2024</w:t>
      </w:r>
      <w:r>
        <w:rPr>
          <w:rFonts w:hint="eastAsia" w:ascii="宋体" w:hAnsi="宋体" w:eastAsia="宋体" w:cs="宋体"/>
          <w:b w:val="0"/>
          <w:bCs w:val="0"/>
          <w:color w:val="000000"/>
          <w:sz w:val="24"/>
          <w:szCs w:val="24"/>
          <w:highlight w:val="none"/>
          <w:u w:val="single"/>
        </w:rPr>
        <w:t xml:space="preserve"> </w:t>
      </w:r>
      <w:r>
        <w:rPr>
          <w:rFonts w:hint="eastAsia" w:ascii="宋体" w:hAnsi="宋体" w:eastAsia="宋体" w:cs="宋体"/>
          <w:b w:val="0"/>
          <w:bCs w:val="0"/>
          <w:color w:val="000000"/>
          <w:sz w:val="24"/>
          <w:szCs w:val="24"/>
          <w:highlight w:val="none"/>
        </w:rPr>
        <w:t>年</w:t>
      </w:r>
      <w:r>
        <w:rPr>
          <w:rFonts w:hint="eastAsia" w:ascii="宋体" w:hAnsi="宋体" w:eastAsia="宋体" w:cs="宋体"/>
          <w:b w:val="0"/>
          <w:bCs w:val="0"/>
          <w:color w:val="000000"/>
          <w:sz w:val="24"/>
          <w:szCs w:val="24"/>
          <w:highlight w:val="none"/>
          <w:u w:val="single"/>
        </w:rPr>
        <w:t xml:space="preserve"> </w:t>
      </w:r>
      <w:r>
        <w:rPr>
          <w:rFonts w:hint="eastAsia" w:cs="宋体"/>
          <w:b w:val="0"/>
          <w:bCs w:val="0"/>
          <w:color w:val="000000"/>
          <w:sz w:val="24"/>
          <w:szCs w:val="24"/>
          <w:highlight w:val="none"/>
          <w:u w:val="single"/>
          <w:lang w:val="en-US" w:eastAsia="zh-CN"/>
        </w:rPr>
        <w:t>11</w:t>
      </w:r>
      <w:r>
        <w:rPr>
          <w:rFonts w:hint="eastAsia" w:ascii="宋体" w:hAnsi="宋体" w:eastAsia="宋体" w:cs="宋体"/>
          <w:b w:val="0"/>
          <w:bCs w:val="0"/>
          <w:color w:val="000000"/>
          <w:sz w:val="24"/>
          <w:szCs w:val="24"/>
          <w:highlight w:val="none"/>
          <w:u w:val="single"/>
        </w:rPr>
        <w:t xml:space="preserve"> </w:t>
      </w:r>
      <w:r>
        <w:rPr>
          <w:rFonts w:hint="eastAsia" w:ascii="宋体" w:hAnsi="宋体" w:eastAsia="宋体" w:cs="宋体"/>
          <w:b w:val="0"/>
          <w:bCs w:val="0"/>
          <w:color w:val="000000"/>
          <w:sz w:val="24"/>
          <w:szCs w:val="24"/>
          <w:highlight w:val="none"/>
        </w:rPr>
        <w:t>月</w:t>
      </w:r>
      <w:r>
        <w:rPr>
          <w:rFonts w:hint="eastAsia" w:ascii="宋体" w:hAnsi="宋体" w:eastAsia="宋体" w:cs="宋体"/>
          <w:b w:val="0"/>
          <w:bCs w:val="0"/>
          <w:color w:val="000000"/>
          <w:sz w:val="24"/>
          <w:szCs w:val="24"/>
          <w:highlight w:val="none"/>
          <w:u w:val="single"/>
        </w:rPr>
        <w:t xml:space="preserve">    </w:t>
      </w:r>
      <w:r>
        <w:rPr>
          <w:rFonts w:hint="eastAsia" w:ascii="宋体" w:hAnsi="宋体" w:eastAsia="宋体" w:cs="宋体"/>
          <w:b w:val="0"/>
          <w:bCs w:val="0"/>
          <w:color w:val="000000"/>
          <w:sz w:val="24"/>
          <w:szCs w:val="24"/>
          <w:highlight w:val="none"/>
        </w:rPr>
        <w:t>日签订。</w:t>
      </w:r>
      <w:bookmarkEnd w:id="390"/>
      <w:bookmarkEnd w:id="391"/>
      <w:bookmarkEnd w:id="392"/>
      <w:bookmarkEnd w:id="393"/>
      <w:bookmarkEnd w:id="394"/>
    </w:p>
    <w:p w14:paraId="38B6EED9">
      <w:pPr>
        <w:keepNext/>
        <w:keepLines/>
        <w:pageBreakBefore w:val="0"/>
        <w:widowControl w:val="0"/>
        <w:numPr>
          <w:ilvl w:val="0"/>
          <w:numId w:val="40"/>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395" w:name="_Toc351203490"/>
      <w:bookmarkStart w:id="396" w:name="_Toc11542"/>
      <w:bookmarkStart w:id="397" w:name="_Toc13264"/>
      <w:bookmarkStart w:id="398" w:name="_Toc16995"/>
      <w:bookmarkStart w:id="399" w:name="_Toc23345"/>
      <w:bookmarkStart w:id="400" w:name="_Toc3429"/>
      <w:r>
        <w:rPr>
          <w:rFonts w:hint="eastAsia" w:ascii="宋体" w:hAnsi="宋体" w:cs="宋体"/>
          <w:b/>
          <w:bCs/>
          <w:snapToGrid w:val="0"/>
          <w:color w:val="000000" w:themeColor="text1"/>
          <w:sz w:val="24"/>
          <w:szCs w:val="24"/>
          <w:lang w:val="en-US" w:eastAsia="zh-CN"/>
          <w14:textFill>
            <w14:solidFill>
              <w14:schemeClr w14:val="tx1"/>
            </w14:solidFill>
          </w14:textFill>
        </w:rPr>
        <w:t>签订地点</w:t>
      </w:r>
      <w:bookmarkEnd w:id="395"/>
      <w:bookmarkEnd w:id="396"/>
      <w:bookmarkEnd w:id="397"/>
      <w:bookmarkEnd w:id="398"/>
      <w:bookmarkEnd w:id="399"/>
      <w:bookmarkEnd w:id="400"/>
    </w:p>
    <w:p w14:paraId="73BD975D">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rPr>
      </w:pPr>
      <w:bookmarkStart w:id="401" w:name="_Toc21537"/>
      <w:bookmarkStart w:id="402" w:name="_Toc17879"/>
      <w:bookmarkStart w:id="403" w:name="_Toc26772"/>
      <w:bookmarkStart w:id="404" w:name="_Toc23963"/>
      <w:bookmarkStart w:id="405" w:name="_Toc6597"/>
      <w:r>
        <w:rPr>
          <w:rFonts w:hint="eastAsia" w:ascii="宋体" w:hAnsi="宋体" w:eastAsia="宋体" w:cs="宋体"/>
          <w:b w:val="0"/>
          <w:bCs w:val="0"/>
          <w:color w:val="000000"/>
          <w:sz w:val="24"/>
          <w:szCs w:val="24"/>
          <w:highlight w:val="none"/>
          <w:lang w:val="en-US" w:eastAsia="zh-CN"/>
        </w:rPr>
        <w:t>本合同在</w:t>
      </w:r>
      <w:r>
        <w:rPr>
          <w:rFonts w:hint="eastAsia" w:ascii="宋体" w:hAnsi="宋体" w:eastAsia="宋体" w:cs="宋体"/>
          <w:b w:val="0"/>
          <w:bCs w:val="0"/>
          <w:color w:val="000000"/>
          <w:sz w:val="24"/>
          <w:szCs w:val="24"/>
          <w:highlight w:val="none"/>
          <w:u w:val="single"/>
          <w:lang w:val="en-US" w:eastAsia="zh-CN"/>
        </w:rPr>
        <w:t xml:space="preserve">  </w:t>
      </w:r>
      <w:r>
        <w:rPr>
          <w:rFonts w:hint="eastAsia" w:cs="宋体"/>
          <w:b w:val="0"/>
          <w:bCs w:val="0"/>
          <w:color w:val="000000"/>
          <w:sz w:val="24"/>
          <w:szCs w:val="24"/>
          <w:highlight w:val="none"/>
          <w:u w:val="single"/>
          <w:lang w:val="en-US" w:eastAsia="zh-CN"/>
        </w:rPr>
        <w:t>两江新区龙兴镇</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lang w:val="en-US" w:eastAsia="zh-CN"/>
        </w:rPr>
        <w:t>签订。</w:t>
      </w:r>
      <w:bookmarkEnd w:id="401"/>
      <w:bookmarkEnd w:id="402"/>
      <w:bookmarkEnd w:id="403"/>
      <w:bookmarkEnd w:id="404"/>
      <w:bookmarkEnd w:id="405"/>
    </w:p>
    <w:p w14:paraId="3987070C">
      <w:pPr>
        <w:keepNext/>
        <w:keepLines/>
        <w:pageBreakBefore w:val="0"/>
        <w:widowControl w:val="0"/>
        <w:numPr>
          <w:ilvl w:val="0"/>
          <w:numId w:val="40"/>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406" w:name="_Toc351203491"/>
      <w:bookmarkStart w:id="407" w:name="_Toc20244"/>
      <w:bookmarkStart w:id="408" w:name="_Toc1356"/>
      <w:bookmarkStart w:id="409" w:name="_Toc13994"/>
      <w:bookmarkStart w:id="410" w:name="_Toc3454"/>
      <w:bookmarkStart w:id="411" w:name="_Toc31812"/>
      <w:r>
        <w:rPr>
          <w:rFonts w:hint="eastAsia" w:ascii="宋体" w:hAnsi="宋体" w:cs="宋体"/>
          <w:b/>
          <w:bCs/>
          <w:snapToGrid w:val="0"/>
          <w:color w:val="000000" w:themeColor="text1"/>
          <w:sz w:val="24"/>
          <w:szCs w:val="24"/>
          <w:lang w:val="en-US" w:eastAsia="zh-CN"/>
          <w14:textFill>
            <w14:solidFill>
              <w14:schemeClr w14:val="tx1"/>
            </w14:solidFill>
          </w14:textFill>
        </w:rPr>
        <w:t>补充协议</w:t>
      </w:r>
      <w:bookmarkEnd w:id="406"/>
      <w:bookmarkEnd w:id="407"/>
      <w:bookmarkEnd w:id="408"/>
      <w:bookmarkEnd w:id="409"/>
      <w:bookmarkEnd w:id="410"/>
      <w:bookmarkEnd w:id="411"/>
    </w:p>
    <w:p w14:paraId="078832F2">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lang w:val="en-US" w:eastAsia="zh-CN"/>
        </w:rPr>
      </w:pPr>
      <w:bookmarkStart w:id="412" w:name="_Toc31923"/>
      <w:bookmarkStart w:id="413" w:name="_Toc28241"/>
      <w:bookmarkStart w:id="414" w:name="_Toc10701"/>
      <w:bookmarkStart w:id="415" w:name="_Toc15871"/>
      <w:bookmarkStart w:id="416" w:name="_Toc21812"/>
      <w:r>
        <w:rPr>
          <w:rFonts w:hint="eastAsia" w:ascii="宋体" w:hAnsi="宋体" w:eastAsia="宋体" w:cs="宋体"/>
          <w:b w:val="0"/>
          <w:bCs w:val="0"/>
          <w:color w:val="000000"/>
          <w:sz w:val="24"/>
          <w:szCs w:val="24"/>
          <w:highlight w:val="none"/>
          <w:lang w:val="en-US" w:eastAsia="zh-CN"/>
        </w:rPr>
        <w:t>合同未尽事宜，合同当事人另行签订补充协议，补充协议是合同的组成部分。</w:t>
      </w:r>
      <w:bookmarkEnd w:id="412"/>
      <w:bookmarkEnd w:id="413"/>
      <w:bookmarkEnd w:id="414"/>
      <w:bookmarkEnd w:id="415"/>
      <w:bookmarkEnd w:id="416"/>
    </w:p>
    <w:p w14:paraId="03E91DE3">
      <w:pPr>
        <w:keepNext/>
        <w:keepLines/>
        <w:pageBreakBefore w:val="0"/>
        <w:widowControl w:val="0"/>
        <w:numPr>
          <w:ilvl w:val="0"/>
          <w:numId w:val="40"/>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417" w:name="_Toc13623"/>
      <w:bookmarkStart w:id="418" w:name="_Toc8351"/>
      <w:bookmarkStart w:id="419" w:name="_Toc8372"/>
      <w:bookmarkStart w:id="420" w:name="_Toc351203492"/>
      <w:bookmarkStart w:id="421" w:name="_Toc20882"/>
      <w:bookmarkStart w:id="422" w:name="_Toc488"/>
      <w:r>
        <w:rPr>
          <w:rFonts w:hint="eastAsia" w:ascii="宋体" w:hAnsi="宋体" w:cs="宋体"/>
          <w:b/>
          <w:bCs/>
          <w:snapToGrid w:val="0"/>
          <w:color w:val="000000" w:themeColor="text1"/>
          <w:sz w:val="24"/>
          <w:szCs w:val="24"/>
          <w:lang w:val="en-US" w:eastAsia="zh-CN"/>
          <w14:textFill>
            <w14:solidFill>
              <w14:schemeClr w14:val="tx1"/>
            </w14:solidFill>
          </w14:textFill>
        </w:rPr>
        <w:t>合同生效</w:t>
      </w:r>
      <w:bookmarkEnd w:id="417"/>
      <w:bookmarkEnd w:id="418"/>
      <w:bookmarkEnd w:id="419"/>
      <w:bookmarkEnd w:id="420"/>
      <w:bookmarkEnd w:id="421"/>
      <w:bookmarkEnd w:id="422"/>
    </w:p>
    <w:p w14:paraId="6ED802DE">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lang w:val="en-US" w:eastAsia="zh-CN"/>
        </w:rPr>
      </w:pPr>
      <w:bookmarkStart w:id="423" w:name="_Toc926"/>
      <w:bookmarkStart w:id="424" w:name="_Toc31058"/>
      <w:bookmarkStart w:id="425" w:name="_Toc29818"/>
      <w:bookmarkStart w:id="426" w:name="_Toc22005"/>
      <w:bookmarkStart w:id="427" w:name="_Toc13339"/>
      <w:r>
        <w:rPr>
          <w:rFonts w:hint="eastAsia" w:ascii="宋体" w:hAnsi="宋体" w:eastAsia="宋体" w:cs="宋体"/>
          <w:b w:val="0"/>
          <w:bCs w:val="0"/>
          <w:color w:val="000000"/>
          <w:sz w:val="24"/>
          <w:szCs w:val="24"/>
          <w:highlight w:val="none"/>
          <w:lang w:val="en-US" w:eastAsia="zh-CN"/>
        </w:rPr>
        <w:t>本合同自</w:t>
      </w:r>
      <w:r>
        <w:rPr>
          <w:rFonts w:hint="eastAsia" w:ascii="宋体" w:hAnsi="宋体" w:eastAsia="宋体" w:cs="宋体"/>
          <w:b w:val="0"/>
          <w:bCs w:val="0"/>
          <w:color w:val="000000"/>
          <w:sz w:val="24"/>
          <w:szCs w:val="24"/>
          <w:highlight w:val="none"/>
          <w:u w:val="single"/>
          <w:lang w:val="en-US" w:eastAsia="zh-CN"/>
        </w:rPr>
        <w:t xml:space="preserve"> </w:t>
      </w:r>
      <w:r>
        <w:rPr>
          <w:rFonts w:hint="eastAsia" w:cs="宋体"/>
          <w:b w:val="0"/>
          <w:bCs w:val="0"/>
          <w:color w:val="000000"/>
          <w:sz w:val="24"/>
          <w:szCs w:val="24"/>
          <w:highlight w:val="none"/>
          <w:u w:val="single"/>
          <w:lang w:val="en-US" w:eastAsia="zh-CN"/>
        </w:rPr>
        <w:t>2024年11月    日</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lang w:val="en-US" w:eastAsia="zh-CN"/>
        </w:rPr>
        <w:t>生效。</w:t>
      </w:r>
      <w:bookmarkEnd w:id="423"/>
      <w:bookmarkEnd w:id="424"/>
      <w:bookmarkEnd w:id="425"/>
      <w:bookmarkEnd w:id="426"/>
      <w:bookmarkEnd w:id="427"/>
    </w:p>
    <w:p w14:paraId="7574B8D3">
      <w:pPr>
        <w:keepNext/>
        <w:keepLines/>
        <w:pageBreakBefore w:val="0"/>
        <w:widowControl w:val="0"/>
        <w:numPr>
          <w:ilvl w:val="0"/>
          <w:numId w:val="40"/>
        </w:numPr>
        <w:tabs>
          <w:tab w:val="left" w:pos="851"/>
        </w:tabs>
        <w:kinsoku/>
        <w:wordWrap/>
        <w:overflowPunct/>
        <w:topLinePunct w:val="0"/>
        <w:autoSpaceDE/>
        <w:autoSpaceDN/>
        <w:bidi w:val="0"/>
        <w:adjustRightInd/>
        <w:snapToGrid/>
        <w:spacing w:before="157" w:beforeLines="50" w:after="157" w:afterLines="50" w:line="300" w:lineRule="auto"/>
        <w:ind w:left="0" w:leftChars="0" w:firstLine="0" w:firstLineChars="0"/>
        <w:jc w:val="left"/>
        <w:textAlignment w:val="auto"/>
        <w:outlineLvl w:val="1"/>
        <w:rPr>
          <w:rFonts w:hint="eastAsia" w:ascii="宋体" w:hAnsi="宋体" w:cs="宋体"/>
          <w:b/>
          <w:bCs/>
          <w:snapToGrid w:val="0"/>
          <w:color w:val="000000" w:themeColor="text1"/>
          <w:sz w:val="24"/>
          <w:szCs w:val="24"/>
          <w:lang w:val="en-US" w:eastAsia="zh-CN"/>
          <w14:textFill>
            <w14:solidFill>
              <w14:schemeClr w14:val="tx1"/>
            </w14:solidFill>
          </w14:textFill>
        </w:rPr>
      </w:pPr>
      <w:bookmarkStart w:id="428" w:name="_Toc21480"/>
      <w:bookmarkStart w:id="429" w:name="_Toc9587"/>
      <w:bookmarkStart w:id="430" w:name="_Toc2323"/>
      <w:bookmarkStart w:id="431" w:name="_Toc351203493"/>
      <w:bookmarkStart w:id="432" w:name="_Toc24202"/>
      <w:bookmarkStart w:id="433" w:name="_Toc103"/>
      <w:r>
        <w:rPr>
          <w:rFonts w:hint="eastAsia" w:ascii="宋体" w:hAnsi="宋体" w:cs="宋体"/>
          <w:b/>
          <w:bCs/>
          <w:snapToGrid w:val="0"/>
          <w:color w:val="000000" w:themeColor="text1"/>
          <w:sz w:val="24"/>
          <w:szCs w:val="24"/>
          <w:lang w:val="en-US" w:eastAsia="zh-CN"/>
          <w14:textFill>
            <w14:solidFill>
              <w14:schemeClr w14:val="tx1"/>
            </w14:solidFill>
          </w14:textFill>
        </w:rPr>
        <w:t>合同份数</w:t>
      </w:r>
      <w:bookmarkEnd w:id="428"/>
      <w:bookmarkEnd w:id="429"/>
      <w:bookmarkEnd w:id="430"/>
      <w:bookmarkEnd w:id="431"/>
      <w:bookmarkEnd w:id="432"/>
      <w:bookmarkEnd w:id="433"/>
    </w:p>
    <w:p w14:paraId="2535C50C">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lang w:val="en-US" w:eastAsia="zh-CN"/>
        </w:rPr>
      </w:pPr>
      <w:bookmarkStart w:id="434" w:name="_Toc4873"/>
      <w:bookmarkStart w:id="435" w:name="_Toc25665"/>
      <w:bookmarkStart w:id="436" w:name="_Toc194"/>
      <w:bookmarkStart w:id="437" w:name="_Toc12064"/>
      <w:bookmarkStart w:id="438" w:name="_Toc6049"/>
      <w:r>
        <w:rPr>
          <w:rFonts w:hint="eastAsia" w:ascii="宋体" w:hAnsi="宋体" w:eastAsia="宋体" w:cs="宋体"/>
          <w:b w:val="0"/>
          <w:bCs w:val="0"/>
          <w:color w:val="000000"/>
          <w:sz w:val="24"/>
          <w:szCs w:val="24"/>
          <w:highlight w:val="none"/>
          <w:lang w:val="en-US" w:eastAsia="zh-CN"/>
        </w:rPr>
        <w:t>本合同一式</w:t>
      </w:r>
      <w:r>
        <w:rPr>
          <w:rFonts w:hint="eastAsia" w:ascii="宋体" w:hAnsi="宋体" w:eastAsia="宋体" w:cs="宋体"/>
          <w:b w:val="0"/>
          <w:bCs w:val="0"/>
          <w:color w:val="000000"/>
          <w:sz w:val="24"/>
          <w:szCs w:val="24"/>
          <w:highlight w:val="none"/>
          <w:u w:val="single"/>
          <w:lang w:val="en-US" w:eastAsia="zh-CN"/>
        </w:rPr>
        <w:t xml:space="preserve"> </w:t>
      </w:r>
      <w:r>
        <w:rPr>
          <w:rFonts w:hint="eastAsia" w:cs="宋体"/>
          <w:b w:val="0"/>
          <w:bCs w:val="0"/>
          <w:color w:val="000000"/>
          <w:sz w:val="24"/>
          <w:szCs w:val="24"/>
          <w:highlight w:val="none"/>
          <w:u w:val="single"/>
          <w:lang w:val="en-US" w:eastAsia="zh-CN"/>
        </w:rPr>
        <w:t>捌</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lang w:val="en-US" w:eastAsia="zh-CN"/>
        </w:rPr>
        <w:t>份，均具有同等法律效力，</w:t>
      </w:r>
      <w:r>
        <w:rPr>
          <w:rFonts w:hint="eastAsia" w:cs="宋体"/>
          <w:b w:val="0"/>
          <w:bCs w:val="0"/>
          <w:color w:val="000000"/>
          <w:sz w:val="24"/>
          <w:szCs w:val="24"/>
          <w:highlight w:val="none"/>
          <w:lang w:val="en-US" w:eastAsia="zh-CN"/>
        </w:rPr>
        <w:t>委托人</w:t>
      </w:r>
      <w:r>
        <w:rPr>
          <w:rFonts w:hint="eastAsia" w:ascii="宋体" w:hAnsi="宋体" w:eastAsia="宋体" w:cs="宋体"/>
          <w:b w:val="0"/>
          <w:bCs w:val="0"/>
          <w:color w:val="000000"/>
          <w:sz w:val="24"/>
          <w:szCs w:val="24"/>
          <w:highlight w:val="none"/>
          <w:lang w:val="en-US" w:eastAsia="zh-CN"/>
        </w:rPr>
        <w:t>执</w:t>
      </w:r>
      <w:r>
        <w:rPr>
          <w:rFonts w:hint="eastAsia" w:ascii="宋体" w:hAnsi="宋体" w:eastAsia="宋体" w:cs="宋体"/>
          <w:b w:val="0"/>
          <w:bCs w:val="0"/>
          <w:color w:val="000000"/>
          <w:sz w:val="24"/>
          <w:szCs w:val="24"/>
          <w:highlight w:val="none"/>
          <w:u w:val="single"/>
          <w:lang w:val="en-US" w:eastAsia="zh-CN"/>
        </w:rPr>
        <w:t xml:space="preserve"> </w:t>
      </w:r>
      <w:r>
        <w:rPr>
          <w:rFonts w:hint="eastAsia" w:cs="宋体"/>
          <w:b w:val="0"/>
          <w:bCs w:val="0"/>
          <w:color w:val="000000"/>
          <w:sz w:val="24"/>
          <w:szCs w:val="24"/>
          <w:highlight w:val="none"/>
          <w:u w:val="single"/>
          <w:lang w:val="en-US" w:eastAsia="zh-CN"/>
        </w:rPr>
        <w:t>陆</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lang w:val="en-US" w:eastAsia="zh-CN"/>
        </w:rPr>
        <w:t>份，</w:t>
      </w:r>
      <w:r>
        <w:rPr>
          <w:rFonts w:hint="eastAsia" w:cs="宋体"/>
          <w:b w:val="0"/>
          <w:bCs w:val="0"/>
          <w:color w:val="000000"/>
          <w:sz w:val="24"/>
          <w:szCs w:val="24"/>
          <w:highlight w:val="none"/>
          <w:lang w:val="en-US" w:eastAsia="zh-CN"/>
        </w:rPr>
        <w:t>监理人</w:t>
      </w:r>
      <w:r>
        <w:rPr>
          <w:rFonts w:hint="eastAsia" w:ascii="宋体" w:hAnsi="宋体" w:eastAsia="宋体" w:cs="宋体"/>
          <w:b w:val="0"/>
          <w:bCs w:val="0"/>
          <w:color w:val="000000"/>
          <w:sz w:val="24"/>
          <w:szCs w:val="24"/>
          <w:highlight w:val="none"/>
          <w:lang w:val="en-US" w:eastAsia="zh-CN"/>
        </w:rPr>
        <w:t>执</w:t>
      </w:r>
      <w:r>
        <w:rPr>
          <w:rFonts w:hint="eastAsia" w:ascii="宋体" w:hAnsi="宋体" w:eastAsia="宋体" w:cs="宋体"/>
          <w:b w:val="0"/>
          <w:bCs w:val="0"/>
          <w:color w:val="000000"/>
          <w:sz w:val="24"/>
          <w:szCs w:val="24"/>
          <w:highlight w:val="none"/>
          <w:u w:val="single"/>
          <w:lang w:val="en-US" w:eastAsia="zh-CN"/>
        </w:rPr>
        <w:t xml:space="preserve"> </w:t>
      </w:r>
      <w:r>
        <w:rPr>
          <w:rFonts w:hint="eastAsia" w:cs="宋体"/>
          <w:b w:val="0"/>
          <w:bCs w:val="0"/>
          <w:color w:val="000000"/>
          <w:sz w:val="24"/>
          <w:szCs w:val="24"/>
          <w:highlight w:val="none"/>
          <w:u w:val="single"/>
          <w:lang w:val="en-US" w:eastAsia="zh-CN"/>
        </w:rPr>
        <w:t>贰</w:t>
      </w:r>
      <w:r>
        <w:rPr>
          <w:rFonts w:hint="eastAsia" w:ascii="宋体" w:hAnsi="宋体" w:eastAsia="宋体" w:cs="宋体"/>
          <w:b w:val="0"/>
          <w:bCs w:val="0"/>
          <w:color w:val="000000"/>
          <w:sz w:val="24"/>
          <w:szCs w:val="24"/>
          <w:highlight w:val="none"/>
          <w:u w:val="single"/>
          <w:lang w:val="en-US" w:eastAsia="zh-CN"/>
        </w:rPr>
        <w:t xml:space="preserve"> </w:t>
      </w:r>
      <w:r>
        <w:rPr>
          <w:rFonts w:hint="eastAsia" w:ascii="宋体" w:hAnsi="宋体" w:eastAsia="宋体" w:cs="宋体"/>
          <w:b w:val="0"/>
          <w:bCs w:val="0"/>
          <w:color w:val="000000"/>
          <w:sz w:val="24"/>
          <w:szCs w:val="24"/>
          <w:highlight w:val="none"/>
          <w:lang w:val="en-US" w:eastAsia="zh-CN"/>
        </w:rPr>
        <w:t>份。</w:t>
      </w:r>
      <w:bookmarkEnd w:id="379"/>
      <w:bookmarkEnd w:id="380"/>
      <w:bookmarkEnd w:id="381"/>
      <w:bookmarkEnd w:id="382"/>
      <w:bookmarkEnd w:id="383"/>
      <w:bookmarkEnd w:id="434"/>
      <w:bookmarkEnd w:id="435"/>
      <w:bookmarkEnd w:id="436"/>
      <w:bookmarkEnd w:id="437"/>
      <w:bookmarkEnd w:id="438"/>
    </w:p>
    <w:p w14:paraId="67A84C8B">
      <w:pPr>
        <w:pStyle w:val="170"/>
        <w:pageBreakBefore w:val="0"/>
        <w:widowControl w:val="0"/>
        <w:numPr>
          <w:ilvl w:val="0"/>
          <w:numId w:val="0"/>
        </w:numPr>
        <w:kinsoku/>
        <w:wordWrap/>
        <w:overflowPunct/>
        <w:topLinePunct w:val="0"/>
        <w:autoSpaceDE/>
        <w:autoSpaceDN/>
        <w:bidi w:val="0"/>
        <w:spacing w:before="0" w:after="0" w:afterAutospacing="0" w:line="300" w:lineRule="auto"/>
        <w:ind w:left="1691" w:leftChars="400"/>
        <w:textAlignment w:val="auto"/>
        <w:rPr>
          <w:rFonts w:hint="eastAsia" w:ascii="宋体" w:hAnsi="宋体" w:eastAsia="宋体" w:cs="宋体"/>
          <w:b w:val="0"/>
          <w:bCs w:val="0"/>
          <w:color w:val="000000"/>
          <w:sz w:val="24"/>
          <w:szCs w:val="24"/>
          <w:highlight w:val="none"/>
          <w:lang w:val="en-US" w:eastAsia="zh-CN"/>
        </w:rPr>
      </w:pPr>
    </w:p>
    <w:tbl>
      <w:tblPr>
        <w:tblStyle w:val="41"/>
        <w:tblW w:w="9808" w:type="dxa"/>
        <w:jc w:val="center"/>
        <w:tblLayout w:type="fixed"/>
        <w:tblCellMar>
          <w:top w:w="0" w:type="dxa"/>
          <w:left w:w="108" w:type="dxa"/>
          <w:bottom w:w="0" w:type="dxa"/>
          <w:right w:w="108" w:type="dxa"/>
        </w:tblCellMar>
      </w:tblPr>
      <w:tblGrid>
        <w:gridCol w:w="4828"/>
        <w:gridCol w:w="4980"/>
      </w:tblGrid>
      <w:tr w14:paraId="5DE066CC">
        <w:tblPrEx>
          <w:tblCellMar>
            <w:top w:w="0" w:type="dxa"/>
            <w:left w:w="108" w:type="dxa"/>
            <w:bottom w:w="0" w:type="dxa"/>
            <w:right w:w="108" w:type="dxa"/>
          </w:tblCellMar>
        </w:tblPrEx>
        <w:trPr>
          <w:trHeight w:val="484" w:hRule="atLeast"/>
          <w:jc w:val="center"/>
        </w:trPr>
        <w:tc>
          <w:tcPr>
            <w:tcW w:w="4828" w:type="dxa"/>
            <w:vAlign w:val="center"/>
          </w:tcPr>
          <w:p w14:paraId="02C6D5BA">
            <w:pPr>
              <w:rPr>
                <w:rFonts w:hint="eastAsia" w:ascii="宋体" w:hAnsi="宋体" w:eastAsia="宋体" w:cs="宋体"/>
                <w:b/>
                <w:sz w:val="24"/>
                <w:szCs w:val="24"/>
              </w:rPr>
            </w:pPr>
            <w:r>
              <w:rPr>
                <w:rFonts w:hint="eastAsia" w:ascii="宋体" w:hAnsi="宋体" w:cs="宋体"/>
                <w:b w:val="0"/>
                <w:bCs/>
                <w:sz w:val="24"/>
                <w:szCs w:val="24"/>
                <w:lang w:val="en-US" w:eastAsia="zh-CN"/>
              </w:rPr>
              <w:t>委 托 人</w:t>
            </w:r>
            <w:r>
              <w:rPr>
                <w:rFonts w:hint="eastAsia" w:ascii="宋体" w:hAnsi="宋体" w:eastAsia="宋体" w:cs="宋体"/>
                <w:b w:val="0"/>
                <w:bCs/>
                <w:sz w:val="24"/>
                <w:szCs w:val="24"/>
              </w:rPr>
              <w:t>：</w:t>
            </w:r>
            <w:r>
              <w:rPr>
                <w:rFonts w:hint="eastAsia" w:ascii="宋体" w:hAnsi="宋体" w:eastAsia="宋体" w:cs="宋体"/>
                <w:color w:val="000000" w:themeColor="text1"/>
                <w:spacing w:val="10"/>
                <w:sz w:val="24"/>
                <w:szCs w:val="24"/>
                <w:highlight w:val="none"/>
                <w:lang w:val="en-US" w:eastAsia="zh-CN"/>
                <w14:textFill>
                  <w14:solidFill>
                    <w14:schemeClr w14:val="tx1"/>
                  </w14:solidFill>
                </w14:textFill>
              </w:rPr>
              <w:t>重庆海联职业技术学院</w:t>
            </w:r>
          </w:p>
        </w:tc>
        <w:tc>
          <w:tcPr>
            <w:tcW w:w="4980" w:type="dxa"/>
            <w:vAlign w:val="center"/>
          </w:tcPr>
          <w:p w14:paraId="75C1A862">
            <w:pPr>
              <w:rPr>
                <w:rFonts w:hint="default" w:ascii="宋体" w:hAnsi="宋体" w:eastAsia="宋体" w:cs="宋体"/>
                <w:sz w:val="24"/>
                <w:szCs w:val="24"/>
                <w:lang w:val="en-US"/>
              </w:rPr>
            </w:pPr>
            <w:r>
              <w:rPr>
                <w:rFonts w:hint="eastAsia" w:ascii="宋体" w:hAnsi="宋体" w:cs="宋体"/>
                <w:sz w:val="24"/>
                <w:szCs w:val="24"/>
                <w:lang w:val="en-US" w:eastAsia="zh-CN"/>
              </w:rPr>
              <w:t>监理</w:t>
            </w:r>
            <w:r>
              <w:rPr>
                <w:rFonts w:hint="eastAsia" w:ascii="宋体" w:hAnsi="宋体" w:eastAsia="宋体" w:cs="宋体"/>
                <w:sz w:val="24"/>
                <w:szCs w:val="24"/>
              </w:rPr>
              <w:t>人</w:t>
            </w:r>
            <w:r>
              <w:rPr>
                <w:rFonts w:hint="eastAsia" w:ascii="宋体" w:hAnsi="宋体" w:cs="宋体"/>
                <w:sz w:val="24"/>
                <w:szCs w:val="24"/>
                <w:lang w:val="en-US" w:eastAsia="zh-CN"/>
              </w:rPr>
              <w:t>：</w:t>
            </w:r>
          </w:p>
        </w:tc>
      </w:tr>
      <w:tr w14:paraId="466E97DF">
        <w:tblPrEx>
          <w:tblCellMar>
            <w:top w:w="0" w:type="dxa"/>
            <w:left w:w="108" w:type="dxa"/>
            <w:bottom w:w="0" w:type="dxa"/>
            <w:right w:w="108" w:type="dxa"/>
          </w:tblCellMar>
        </w:tblPrEx>
        <w:trPr>
          <w:trHeight w:val="484" w:hRule="atLeast"/>
          <w:jc w:val="center"/>
        </w:trPr>
        <w:tc>
          <w:tcPr>
            <w:tcW w:w="4828" w:type="dxa"/>
            <w:vAlign w:val="center"/>
          </w:tcPr>
          <w:p w14:paraId="3A612D56">
            <w:pPr>
              <w:rPr>
                <w:rFonts w:hint="eastAsia" w:ascii="宋体" w:hAnsi="宋体" w:eastAsia="宋体" w:cs="宋体"/>
                <w:sz w:val="24"/>
                <w:szCs w:val="24"/>
              </w:rPr>
            </w:pPr>
            <w:r>
              <w:rPr>
                <w:rFonts w:hint="eastAsia" w:ascii="宋体" w:hAnsi="宋体" w:eastAsia="宋体" w:cs="宋体"/>
                <w:sz w:val="24"/>
                <w:szCs w:val="24"/>
              </w:rPr>
              <w:t>地    址：</w:t>
            </w:r>
            <w:r>
              <w:rPr>
                <w:rFonts w:hint="eastAsia" w:ascii="宋体" w:hAnsi="宋体" w:eastAsia="宋体" w:cs="宋体"/>
                <w:color w:val="000000" w:themeColor="text1"/>
                <w:spacing w:val="10"/>
                <w:sz w:val="24"/>
                <w:szCs w:val="24"/>
                <w:highlight w:val="none"/>
                <w14:textFill>
                  <w14:solidFill>
                    <w14:schemeClr w14:val="tx1"/>
                  </w14:solidFill>
                </w14:textFill>
              </w:rPr>
              <w:t>重庆市</w:t>
            </w:r>
            <w:r>
              <w:rPr>
                <w:rFonts w:hint="eastAsia" w:ascii="宋体" w:hAnsi="宋体" w:eastAsia="宋体" w:cs="宋体"/>
                <w:color w:val="000000" w:themeColor="text1"/>
                <w:spacing w:val="10"/>
                <w:sz w:val="24"/>
                <w:szCs w:val="24"/>
                <w:highlight w:val="none"/>
                <w:lang w:val="en-US" w:eastAsia="zh-CN"/>
                <w14:textFill>
                  <w14:solidFill>
                    <w14:schemeClr w14:val="tx1"/>
                  </w14:solidFill>
                </w14:textFill>
              </w:rPr>
              <w:t>两江新区龙兴镇</w:t>
            </w:r>
          </w:p>
        </w:tc>
        <w:tc>
          <w:tcPr>
            <w:tcW w:w="4980" w:type="dxa"/>
            <w:vAlign w:val="center"/>
          </w:tcPr>
          <w:p w14:paraId="06A99C09">
            <w:pPr>
              <w:rPr>
                <w:rFonts w:hint="default" w:ascii="宋体" w:hAnsi="宋体" w:eastAsia="宋体" w:cs="宋体"/>
                <w:sz w:val="24"/>
                <w:szCs w:val="24"/>
                <w:lang w:val="en-US"/>
              </w:rPr>
            </w:pPr>
            <w:r>
              <w:rPr>
                <w:rFonts w:hint="eastAsia" w:ascii="宋体" w:hAnsi="宋体" w:eastAsia="宋体" w:cs="宋体"/>
                <w:sz w:val="24"/>
                <w:szCs w:val="24"/>
              </w:rPr>
              <w:t>地  址：</w:t>
            </w:r>
          </w:p>
        </w:tc>
      </w:tr>
      <w:tr w14:paraId="16162342">
        <w:tblPrEx>
          <w:tblCellMar>
            <w:top w:w="0" w:type="dxa"/>
            <w:left w:w="108" w:type="dxa"/>
            <w:bottom w:w="0" w:type="dxa"/>
            <w:right w:w="108" w:type="dxa"/>
          </w:tblCellMar>
        </w:tblPrEx>
        <w:trPr>
          <w:trHeight w:val="484" w:hRule="atLeast"/>
          <w:jc w:val="center"/>
        </w:trPr>
        <w:tc>
          <w:tcPr>
            <w:tcW w:w="4828" w:type="dxa"/>
            <w:vAlign w:val="center"/>
          </w:tcPr>
          <w:p w14:paraId="55914DE8">
            <w:pPr>
              <w:rPr>
                <w:rFonts w:hint="eastAsia" w:ascii="宋体" w:hAnsi="宋体" w:eastAsia="宋体" w:cs="宋体"/>
                <w:sz w:val="24"/>
                <w:szCs w:val="24"/>
              </w:rPr>
            </w:pPr>
            <w:r>
              <w:rPr>
                <w:rFonts w:hint="eastAsia" w:ascii="宋体" w:hAnsi="宋体" w:eastAsia="宋体" w:cs="宋体"/>
                <w:sz w:val="24"/>
                <w:szCs w:val="24"/>
              </w:rPr>
              <w:t>法定代表人：</w:t>
            </w:r>
          </w:p>
        </w:tc>
        <w:tc>
          <w:tcPr>
            <w:tcW w:w="4980" w:type="dxa"/>
            <w:vAlign w:val="center"/>
          </w:tcPr>
          <w:p w14:paraId="3C2D742C">
            <w:pPr>
              <w:rPr>
                <w:rFonts w:hint="default" w:ascii="宋体" w:hAnsi="宋体" w:eastAsia="宋体" w:cs="宋体"/>
                <w:sz w:val="24"/>
                <w:szCs w:val="24"/>
                <w:lang w:val="en-US"/>
              </w:rPr>
            </w:pPr>
            <w:r>
              <w:rPr>
                <w:rFonts w:hint="eastAsia" w:ascii="宋体" w:hAnsi="宋体" w:eastAsia="宋体" w:cs="宋体"/>
                <w:sz w:val="24"/>
                <w:szCs w:val="24"/>
              </w:rPr>
              <w:t>法定代表人：</w:t>
            </w:r>
          </w:p>
        </w:tc>
      </w:tr>
      <w:tr w14:paraId="2BF1A909">
        <w:tblPrEx>
          <w:tblCellMar>
            <w:top w:w="0" w:type="dxa"/>
            <w:left w:w="108" w:type="dxa"/>
            <w:bottom w:w="0" w:type="dxa"/>
            <w:right w:w="108" w:type="dxa"/>
          </w:tblCellMar>
        </w:tblPrEx>
        <w:trPr>
          <w:trHeight w:val="484" w:hRule="atLeast"/>
          <w:jc w:val="center"/>
        </w:trPr>
        <w:tc>
          <w:tcPr>
            <w:tcW w:w="4828" w:type="dxa"/>
            <w:vAlign w:val="center"/>
          </w:tcPr>
          <w:p w14:paraId="16841CA2">
            <w:pPr>
              <w:rPr>
                <w:rFonts w:hint="eastAsia" w:ascii="宋体" w:hAnsi="宋体" w:eastAsia="宋体" w:cs="宋体"/>
                <w:sz w:val="24"/>
                <w:szCs w:val="24"/>
              </w:rPr>
            </w:pPr>
            <w:r>
              <w:rPr>
                <w:rFonts w:hint="eastAsia" w:ascii="宋体" w:hAnsi="宋体" w:eastAsia="宋体" w:cs="宋体"/>
                <w:sz w:val="24"/>
                <w:szCs w:val="24"/>
              </w:rPr>
              <w:t>委托代理人：</w:t>
            </w:r>
          </w:p>
        </w:tc>
        <w:tc>
          <w:tcPr>
            <w:tcW w:w="4980" w:type="dxa"/>
            <w:vAlign w:val="center"/>
          </w:tcPr>
          <w:p w14:paraId="3A91AFA2">
            <w:pPr>
              <w:rPr>
                <w:rFonts w:hint="eastAsia" w:ascii="宋体" w:hAnsi="宋体" w:eastAsia="宋体" w:cs="宋体"/>
                <w:sz w:val="24"/>
                <w:szCs w:val="24"/>
              </w:rPr>
            </w:pPr>
            <w:r>
              <w:rPr>
                <w:rFonts w:hint="eastAsia" w:ascii="宋体" w:hAnsi="宋体" w:eastAsia="宋体" w:cs="宋体"/>
                <w:sz w:val="24"/>
                <w:szCs w:val="24"/>
              </w:rPr>
              <w:t>委托代理人：</w:t>
            </w:r>
          </w:p>
        </w:tc>
      </w:tr>
      <w:tr w14:paraId="0677C2BD">
        <w:tblPrEx>
          <w:tblCellMar>
            <w:top w:w="0" w:type="dxa"/>
            <w:left w:w="108" w:type="dxa"/>
            <w:bottom w:w="0" w:type="dxa"/>
            <w:right w:w="108" w:type="dxa"/>
          </w:tblCellMar>
        </w:tblPrEx>
        <w:trPr>
          <w:trHeight w:val="484" w:hRule="atLeast"/>
          <w:jc w:val="center"/>
        </w:trPr>
        <w:tc>
          <w:tcPr>
            <w:tcW w:w="4828" w:type="dxa"/>
            <w:vAlign w:val="center"/>
          </w:tcPr>
          <w:p w14:paraId="1C37991E">
            <w:pPr>
              <w:rPr>
                <w:rFonts w:hint="eastAsia" w:ascii="宋体" w:hAnsi="宋体" w:eastAsia="宋体" w:cs="宋体"/>
                <w:sz w:val="24"/>
                <w:szCs w:val="24"/>
              </w:rPr>
            </w:pPr>
            <w:r>
              <w:rPr>
                <w:rFonts w:hint="eastAsia" w:ascii="宋体" w:hAnsi="宋体" w:eastAsia="宋体" w:cs="宋体"/>
                <w:sz w:val="24"/>
                <w:szCs w:val="24"/>
              </w:rPr>
              <w:t>电      话：</w:t>
            </w:r>
          </w:p>
        </w:tc>
        <w:tc>
          <w:tcPr>
            <w:tcW w:w="4980" w:type="dxa"/>
            <w:vAlign w:val="center"/>
          </w:tcPr>
          <w:p w14:paraId="4FFBF2BE">
            <w:pPr>
              <w:rPr>
                <w:rFonts w:hint="default" w:ascii="宋体" w:hAnsi="宋体" w:eastAsia="宋体" w:cs="宋体"/>
                <w:sz w:val="24"/>
                <w:szCs w:val="24"/>
                <w:lang w:val="en-US"/>
              </w:rPr>
            </w:pPr>
            <w:r>
              <w:rPr>
                <w:rFonts w:hint="eastAsia" w:ascii="宋体" w:hAnsi="宋体" w:eastAsia="宋体" w:cs="宋体"/>
                <w:sz w:val="24"/>
                <w:szCs w:val="24"/>
              </w:rPr>
              <w:t>电      话：</w:t>
            </w:r>
          </w:p>
        </w:tc>
      </w:tr>
      <w:tr w14:paraId="7708A56A">
        <w:tblPrEx>
          <w:tblCellMar>
            <w:top w:w="0" w:type="dxa"/>
            <w:left w:w="108" w:type="dxa"/>
            <w:bottom w:w="0" w:type="dxa"/>
            <w:right w:w="108" w:type="dxa"/>
          </w:tblCellMar>
        </w:tblPrEx>
        <w:trPr>
          <w:trHeight w:val="484" w:hRule="atLeast"/>
          <w:jc w:val="center"/>
        </w:trPr>
        <w:tc>
          <w:tcPr>
            <w:tcW w:w="4828" w:type="dxa"/>
            <w:vAlign w:val="center"/>
          </w:tcPr>
          <w:p w14:paraId="225BDD4A">
            <w:pPr>
              <w:rPr>
                <w:rFonts w:hint="eastAsia" w:ascii="宋体" w:hAnsi="宋体" w:eastAsia="宋体" w:cs="宋体"/>
                <w:sz w:val="24"/>
                <w:szCs w:val="24"/>
                <w:highlight w:val="none"/>
              </w:rPr>
            </w:pPr>
            <w:r>
              <w:rPr>
                <w:rFonts w:hint="eastAsia" w:ascii="宋体" w:hAnsi="宋体" w:eastAsia="宋体" w:cs="宋体"/>
                <w:sz w:val="24"/>
                <w:szCs w:val="24"/>
                <w:highlight w:val="none"/>
              </w:rPr>
              <w:t>帐户名称：</w:t>
            </w:r>
            <w:r>
              <w:rPr>
                <w:rFonts w:hint="eastAsia" w:ascii="宋体" w:hAnsi="宋体" w:eastAsia="宋体" w:cs="宋体"/>
                <w:sz w:val="24"/>
                <w:szCs w:val="24"/>
                <w:highlight w:val="none"/>
                <w:lang w:val="en-US" w:eastAsia="zh-CN"/>
              </w:rPr>
              <w:t>重庆海联职业技术学院</w:t>
            </w:r>
          </w:p>
        </w:tc>
        <w:tc>
          <w:tcPr>
            <w:tcW w:w="4980" w:type="dxa"/>
            <w:vAlign w:val="center"/>
          </w:tcPr>
          <w:p w14:paraId="054E2987">
            <w:pPr>
              <w:rPr>
                <w:rFonts w:hint="eastAsia" w:ascii="宋体" w:hAnsi="宋体" w:eastAsia="宋体" w:cs="宋体"/>
                <w:sz w:val="24"/>
                <w:szCs w:val="24"/>
                <w:highlight w:val="none"/>
              </w:rPr>
            </w:pPr>
            <w:r>
              <w:rPr>
                <w:rFonts w:hint="eastAsia" w:ascii="宋体" w:hAnsi="宋体" w:eastAsia="宋体" w:cs="宋体"/>
                <w:sz w:val="24"/>
                <w:szCs w:val="24"/>
                <w:highlight w:val="none"/>
              </w:rPr>
              <w:t>帐户名称：</w:t>
            </w:r>
          </w:p>
        </w:tc>
      </w:tr>
      <w:tr w14:paraId="5CA24D8C">
        <w:tblPrEx>
          <w:tblCellMar>
            <w:top w:w="0" w:type="dxa"/>
            <w:left w:w="108" w:type="dxa"/>
            <w:bottom w:w="0" w:type="dxa"/>
            <w:right w:w="108" w:type="dxa"/>
          </w:tblCellMar>
        </w:tblPrEx>
        <w:trPr>
          <w:trHeight w:val="484" w:hRule="atLeast"/>
          <w:jc w:val="center"/>
        </w:trPr>
        <w:tc>
          <w:tcPr>
            <w:tcW w:w="4828" w:type="dxa"/>
            <w:vAlign w:val="center"/>
          </w:tcPr>
          <w:p w14:paraId="2DE0E748">
            <w:pPr>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r>
              <w:rPr>
                <w:rFonts w:hint="eastAsia" w:ascii="宋体" w:hAnsi="宋体" w:eastAsia="宋体" w:cs="宋体"/>
                <w:sz w:val="24"/>
                <w:szCs w:val="24"/>
                <w:highlight w:val="none"/>
                <w:lang w:val="en-US" w:eastAsia="zh-CN"/>
              </w:rPr>
              <w:t>华夏银行加州支行</w:t>
            </w:r>
          </w:p>
        </w:tc>
        <w:tc>
          <w:tcPr>
            <w:tcW w:w="4980" w:type="dxa"/>
            <w:vAlign w:val="center"/>
          </w:tcPr>
          <w:p w14:paraId="765F9D9A">
            <w:pPr>
              <w:keepNext w:val="0"/>
              <w:keepLines w:val="0"/>
              <w:widowControl/>
              <w:suppressLineNumbers w:val="0"/>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开 户 银行：</w:t>
            </w:r>
            <w:r>
              <w:rPr>
                <w:rFonts w:hint="eastAsia" w:ascii="宋体" w:hAnsi="宋体" w:cs="宋体"/>
                <w:sz w:val="24"/>
                <w:szCs w:val="24"/>
                <w:highlight w:val="none"/>
                <w:lang w:val="en-US" w:eastAsia="zh-CN"/>
              </w:rPr>
              <w:t xml:space="preserve">                </w:t>
            </w:r>
          </w:p>
        </w:tc>
      </w:tr>
      <w:tr w14:paraId="24159044">
        <w:tblPrEx>
          <w:tblCellMar>
            <w:top w:w="0" w:type="dxa"/>
            <w:left w:w="108" w:type="dxa"/>
            <w:bottom w:w="0" w:type="dxa"/>
            <w:right w:w="108" w:type="dxa"/>
          </w:tblCellMar>
        </w:tblPrEx>
        <w:trPr>
          <w:trHeight w:val="484" w:hRule="atLeast"/>
          <w:jc w:val="center"/>
        </w:trPr>
        <w:tc>
          <w:tcPr>
            <w:tcW w:w="4828" w:type="dxa"/>
            <w:vAlign w:val="center"/>
          </w:tcPr>
          <w:p w14:paraId="009C1FAF">
            <w:pPr>
              <w:rPr>
                <w:rFonts w:hint="eastAsia" w:ascii="宋体" w:hAnsi="宋体" w:eastAsia="宋体" w:cs="宋体"/>
                <w:sz w:val="24"/>
                <w:szCs w:val="24"/>
                <w:highlight w:val="none"/>
              </w:rPr>
            </w:pPr>
            <w:r>
              <w:rPr>
                <w:rFonts w:hint="eastAsia" w:ascii="宋体" w:hAnsi="宋体" w:eastAsia="宋体" w:cs="宋体"/>
                <w:sz w:val="24"/>
                <w:szCs w:val="24"/>
                <w:highlight w:val="none"/>
              </w:rPr>
              <w:t>账    号：</w:t>
            </w:r>
            <w:r>
              <w:rPr>
                <w:rFonts w:hint="eastAsia" w:ascii="宋体" w:hAnsi="宋体" w:eastAsia="宋体" w:cs="宋体"/>
                <w:sz w:val="24"/>
                <w:szCs w:val="24"/>
                <w:highlight w:val="none"/>
                <w:lang w:val="en-US" w:eastAsia="zh-CN"/>
              </w:rPr>
              <w:t>1126 2000 0006 3271 8</w:t>
            </w:r>
          </w:p>
        </w:tc>
        <w:tc>
          <w:tcPr>
            <w:tcW w:w="4980" w:type="dxa"/>
            <w:vAlign w:val="center"/>
          </w:tcPr>
          <w:p w14:paraId="15F83751">
            <w:pPr>
              <w:keepNext w:val="0"/>
              <w:keepLines w:val="0"/>
              <w:widowControl/>
              <w:suppressLineNumbers w:val="0"/>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账      号：</w:t>
            </w:r>
          </w:p>
        </w:tc>
      </w:tr>
      <w:tr w14:paraId="2396F13A">
        <w:tblPrEx>
          <w:tblCellMar>
            <w:top w:w="0" w:type="dxa"/>
            <w:left w:w="108" w:type="dxa"/>
            <w:bottom w:w="0" w:type="dxa"/>
            <w:right w:w="108" w:type="dxa"/>
          </w:tblCellMar>
        </w:tblPrEx>
        <w:trPr>
          <w:trHeight w:val="484" w:hRule="atLeast"/>
          <w:jc w:val="center"/>
        </w:trPr>
        <w:tc>
          <w:tcPr>
            <w:tcW w:w="4828" w:type="dxa"/>
            <w:vAlign w:val="center"/>
          </w:tcPr>
          <w:p w14:paraId="1A6A42C2">
            <w:pP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日    期：2024年</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lang w:val="en-US" w:eastAsia="zh-CN"/>
              </w:rPr>
              <w:t>月   日</w:t>
            </w:r>
          </w:p>
        </w:tc>
        <w:tc>
          <w:tcPr>
            <w:tcW w:w="4980" w:type="dxa"/>
            <w:vAlign w:val="center"/>
          </w:tcPr>
          <w:p w14:paraId="24EEB901">
            <w:pPr>
              <w:rPr>
                <w:rFonts w:hint="default"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日      期：2024年</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lang w:val="en-US" w:eastAsia="zh-CN"/>
              </w:rPr>
              <w:t>月  日</w:t>
            </w:r>
          </w:p>
        </w:tc>
      </w:tr>
    </w:tbl>
    <w:p w14:paraId="0755F597">
      <w:pPr>
        <w:rPr>
          <w:rFonts w:hint="eastAsia"/>
        </w:rPr>
      </w:pPr>
    </w:p>
    <w:p w14:paraId="50F7D240">
      <w:pPr>
        <w:keepNext/>
        <w:keepLines/>
        <w:tabs>
          <w:tab w:val="right" w:leader="dot" w:pos="9344"/>
        </w:tabs>
        <w:ind w:left="283" w:leftChars="135" w:right="210" w:rightChars="100"/>
        <w:jc w:val="center"/>
        <w:outlineLvl w:val="0"/>
        <w:rPr>
          <w:rFonts w:ascii="宋体" w:hAnsi="宋体" w:cs="Arial"/>
          <w:b/>
          <w:bCs/>
          <w:snapToGrid w:val="0"/>
          <w:color w:val="000000" w:themeColor="text1"/>
          <w:kern w:val="44"/>
          <w:sz w:val="28"/>
          <w:szCs w:val="28"/>
          <w14:textFill>
            <w14:solidFill>
              <w14:schemeClr w14:val="tx1"/>
            </w14:solidFill>
          </w14:textFill>
        </w:rPr>
        <w:sectPr>
          <w:footerReference r:id="rId15" w:type="default"/>
          <w:pgSz w:w="11906" w:h="16838"/>
          <w:pgMar w:top="1134" w:right="1134" w:bottom="1134" w:left="1418" w:header="567" w:footer="567" w:gutter="0"/>
          <w:pgNumType w:fmt="decimal"/>
          <w:cols w:space="425" w:num="1"/>
          <w:docGrid w:linePitch="312" w:charSpace="0"/>
        </w:sectPr>
      </w:pPr>
      <w:bookmarkStart w:id="439" w:name="_Toc341124920"/>
      <w:bookmarkStart w:id="440" w:name="_Toc25743"/>
      <w:bookmarkStart w:id="441" w:name="_Toc25701"/>
      <w:bookmarkStart w:id="442" w:name="_Toc336433164"/>
      <w:bookmarkStart w:id="443" w:name="_Toc336432107"/>
      <w:bookmarkStart w:id="444" w:name="_Toc336433970"/>
      <w:bookmarkStart w:id="445" w:name="_Toc29988"/>
      <w:bookmarkStart w:id="446" w:name="_Toc336440355"/>
      <w:bookmarkStart w:id="447" w:name="_Toc3803"/>
    </w:p>
    <w:p w14:paraId="2D75395B">
      <w:pPr>
        <w:keepNext/>
        <w:keepLines/>
        <w:numPr>
          <w:ilvl w:val="0"/>
          <w:numId w:val="49"/>
        </w:numPr>
        <w:tabs>
          <w:tab w:val="right" w:leader="dot" w:pos="9344"/>
        </w:tabs>
        <w:spacing w:line="360" w:lineRule="auto"/>
        <w:ind w:left="283" w:leftChars="135" w:right="210" w:rightChars="100"/>
        <w:jc w:val="center"/>
        <w:outlineLvl w:val="0"/>
        <w:rPr>
          <w:rFonts w:ascii="宋体" w:hAnsi="宋体" w:cs="Arial"/>
          <w:b/>
          <w:bCs/>
          <w:snapToGrid w:val="0"/>
          <w:color w:val="000000" w:themeColor="text1"/>
          <w:kern w:val="44"/>
          <w:sz w:val="28"/>
          <w:szCs w:val="28"/>
          <w14:textFill>
            <w14:solidFill>
              <w14:schemeClr w14:val="tx1"/>
            </w14:solidFill>
          </w14:textFill>
        </w:rPr>
      </w:pPr>
      <w:bookmarkStart w:id="448" w:name="_Toc20536"/>
      <w:bookmarkStart w:id="449" w:name="_Toc1826"/>
      <w:r>
        <w:rPr>
          <w:rFonts w:ascii="宋体" w:hAnsi="宋体" w:cs="Arial"/>
          <w:b/>
          <w:bCs/>
          <w:snapToGrid w:val="0"/>
          <w:color w:val="000000" w:themeColor="text1"/>
          <w:kern w:val="44"/>
          <w:sz w:val="28"/>
          <w:szCs w:val="28"/>
          <w14:textFill>
            <w14:solidFill>
              <w14:schemeClr w14:val="tx1"/>
            </w14:solidFill>
          </w14:textFill>
        </w:rPr>
        <w:t xml:space="preserve"> </w:t>
      </w:r>
      <w:bookmarkStart w:id="450" w:name="_Toc13191"/>
      <w:bookmarkStart w:id="451" w:name="_Toc16219"/>
      <w:r>
        <w:rPr>
          <w:rFonts w:ascii="宋体" w:hAnsi="宋体" w:cs="Arial"/>
          <w:b/>
          <w:bCs/>
          <w:snapToGrid w:val="0"/>
          <w:color w:val="000000" w:themeColor="text1"/>
          <w:kern w:val="44"/>
          <w:sz w:val="28"/>
          <w:szCs w:val="28"/>
          <w14:textFill>
            <w14:solidFill>
              <w14:schemeClr w14:val="tx1"/>
            </w14:solidFill>
          </w14:textFill>
        </w:rPr>
        <w:t>合同条款</w:t>
      </w:r>
      <w:bookmarkEnd w:id="439"/>
      <w:bookmarkEnd w:id="440"/>
      <w:bookmarkEnd w:id="441"/>
      <w:bookmarkEnd w:id="442"/>
      <w:bookmarkEnd w:id="443"/>
      <w:bookmarkEnd w:id="444"/>
      <w:bookmarkEnd w:id="445"/>
      <w:bookmarkEnd w:id="446"/>
      <w:bookmarkEnd w:id="447"/>
      <w:bookmarkEnd w:id="448"/>
      <w:bookmarkEnd w:id="449"/>
      <w:bookmarkEnd w:id="450"/>
      <w:bookmarkEnd w:id="451"/>
      <w:bookmarkStart w:id="452" w:name="_Toc336433165"/>
      <w:bookmarkStart w:id="453" w:name="_Toc336432108"/>
      <w:bookmarkStart w:id="454" w:name="_Toc336433971"/>
    </w:p>
    <w:p w14:paraId="4B8833DC">
      <w:pPr>
        <w:keepNext/>
        <w:keepLines/>
        <w:numPr>
          <w:ilvl w:val="0"/>
          <w:numId w:val="0"/>
        </w:numPr>
        <w:tabs>
          <w:tab w:val="right" w:leader="dot" w:pos="9344"/>
        </w:tabs>
        <w:spacing w:line="360" w:lineRule="auto"/>
        <w:ind w:right="210" w:rightChars="100"/>
        <w:jc w:val="center"/>
        <w:outlineLvl w:val="0"/>
      </w:pPr>
      <w:bookmarkStart w:id="455" w:name="_Toc30950"/>
      <w:bookmarkStart w:id="456" w:name="_Toc16530"/>
      <w:r>
        <w:rPr>
          <w:rFonts w:hint="eastAsia" w:ascii="宋体" w:hAnsi="宋体" w:eastAsia="宋体" w:cs="宋体"/>
          <w:b/>
          <w:bCs/>
          <w:snapToGrid w:val="0"/>
          <w:color w:val="000000" w:themeColor="text1"/>
          <w:kern w:val="44"/>
          <w:sz w:val="24"/>
          <w:szCs w:val="24"/>
          <w:lang w:val="en-US" w:eastAsia="zh-CN"/>
          <w14:textFill>
            <w14:solidFill>
              <w14:schemeClr w14:val="tx1"/>
            </w14:solidFill>
          </w14:textFill>
        </w:rPr>
        <w:t>目录</w:t>
      </w:r>
      <w:bookmarkEnd w:id="455"/>
      <w:r>
        <w:rPr>
          <w:rFonts w:hint="eastAsia" w:ascii="宋体" w:hAnsi="宋体" w:eastAsia="宋体" w:cs="宋体"/>
          <w:b/>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
          <w:bCs/>
          <w:snapToGrid w:val="0"/>
          <w:color w:val="000000" w:themeColor="text1"/>
          <w:kern w:val="44"/>
          <w:sz w:val="24"/>
          <w:szCs w:val="24"/>
          <w14:textFill>
            <w14:solidFill>
              <w14:schemeClr w14:val="tx1"/>
            </w14:solidFill>
          </w14:textFill>
        </w:rPr>
        <w:instrText xml:space="preserve">TOC \o "1-6" \h \u </w:instrText>
      </w:r>
      <w:r>
        <w:rPr>
          <w:rFonts w:hint="eastAsia" w:ascii="宋体" w:hAnsi="宋体" w:eastAsia="宋体" w:cs="宋体"/>
          <w:b/>
          <w:bCs/>
          <w:snapToGrid w:val="0"/>
          <w:color w:val="000000" w:themeColor="text1"/>
          <w:kern w:val="44"/>
          <w:sz w:val="24"/>
          <w:szCs w:val="24"/>
          <w14:textFill>
            <w14:solidFill>
              <w14:schemeClr w14:val="tx1"/>
            </w14:solidFill>
          </w14:textFill>
        </w:rPr>
        <w:fldChar w:fldCharType="separate"/>
      </w:r>
      <w:bookmarkEnd w:id="456"/>
    </w:p>
    <w:p w14:paraId="6EA4329D">
      <w:pPr>
        <w:pStyle w:val="28"/>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_Toc30604 </w:instrText>
      </w:r>
      <w:r>
        <w:rPr>
          <w:rFonts w:hint="eastAsia" w:ascii="宋体" w:hAnsi="宋体" w:eastAsia="宋体" w:cs="宋体"/>
          <w:bCs/>
          <w:snapToGrid w:val="0"/>
          <w:kern w:val="44"/>
          <w:sz w:val="24"/>
          <w:szCs w:val="24"/>
        </w:rPr>
        <w:fldChar w:fldCharType="separate"/>
      </w:r>
      <w:r>
        <w:rPr>
          <w:rFonts w:hint="eastAsia" w:ascii="宋体" w:hAnsi="宋体" w:eastAsia="宋体" w:cs="宋体"/>
          <w:sz w:val="24"/>
          <w:szCs w:val="24"/>
        </w:rPr>
        <w:t>第二部分    合同条件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_Toc30604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55C81ECC">
      <w:pPr>
        <w:pStyle w:val="28"/>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_Toc22122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kern w:val="44"/>
          <w:sz w:val="24"/>
          <w:szCs w:val="24"/>
        </w:rPr>
        <w:t>第一部分  合同协议书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_Toc22122 \h </w:instrText>
      </w:r>
      <w:r>
        <w:rPr>
          <w:rFonts w:hint="eastAsia" w:ascii="宋体" w:hAnsi="宋体" w:eastAsia="宋体" w:cs="宋体"/>
          <w:sz w:val="24"/>
          <w:szCs w:val="24"/>
        </w:rPr>
        <w:fldChar w:fldCharType="separate"/>
      </w:r>
      <w:r>
        <w:rPr>
          <w:rFonts w:hint="eastAsia" w:ascii="宋体" w:hAnsi="宋体" w:eastAsia="宋体" w:cs="宋体"/>
          <w:sz w:val="24"/>
          <w:szCs w:val="24"/>
        </w:rPr>
        <w:t>30</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08E61517">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_Toc21252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rPr>
        <w:t>一、 工程概况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_Toc21252 \h </w:instrText>
      </w:r>
      <w:r>
        <w:rPr>
          <w:rFonts w:hint="eastAsia" w:ascii="宋体" w:hAnsi="宋体" w:eastAsia="宋体" w:cs="宋体"/>
          <w:sz w:val="24"/>
          <w:szCs w:val="24"/>
        </w:rPr>
        <w:fldChar w:fldCharType="separate"/>
      </w:r>
      <w:r>
        <w:rPr>
          <w:rFonts w:hint="eastAsia" w:ascii="宋体" w:hAnsi="宋体" w:eastAsia="宋体" w:cs="宋体"/>
          <w:sz w:val="24"/>
          <w:szCs w:val="24"/>
        </w:rPr>
        <w:t>30</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1BB36BB6">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_Toc16968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lang w:val="en-US" w:eastAsia="zh-CN"/>
        </w:rPr>
        <w:t>二、 服务期限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_Toc16968 \h </w:instrText>
      </w:r>
      <w:r>
        <w:rPr>
          <w:rFonts w:hint="eastAsia" w:ascii="宋体" w:hAnsi="宋体" w:eastAsia="宋体" w:cs="宋体"/>
          <w:sz w:val="24"/>
          <w:szCs w:val="24"/>
        </w:rPr>
        <w:fldChar w:fldCharType="separate"/>
      </w:r>
      <w:r>
        <w:rPr>
          <w:rFonts w:hint="eastAsia" w:ascii="宋体" w:hAnsi="宋体" w:eastAsia="宋体" w:cs="宋体"/>
          <w:sz w:val="24"/>
          <w:szCs w:val="24"/>
        </w:rPr>
        <w:t>30</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18249903">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_Toc6776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lang w:val="en-US" w:eastAsia="zh-CN"/>
        </w:rPr>
        <w:t>三、 质量标准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_Toc6776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60C593D4">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_Toc5123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lang w:val="en-US" w:eastAsia="zh-CN"/>
        </w:rPr>
        <w:t>四、 合同价款与合同价格形式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_Toc5123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03F7806F">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_Toc16655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lang w:val="en-US" w:eastAsia="zh-CN"/>
        </w:rPr>
        <w:t>五、 总监理工程师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_Toc16655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2B213E95">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_Toc18688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lang w:val="en-US" w:eastAsia="zh-CN"/>
        </w:rPr>
        <w:t>六、 合同文件构成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_Toc18688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398EB6D5">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_Toc19324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lang w:val="en-US" w:eastAsia="zh-CN"/>
        </w:rPr>
        <w:t>七、 承诺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_Toc19324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78F38B7C">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_Toc7854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lang w:val="en-US" w:eastAsia="zh-CN"/>
        </w:rPr>
        <w:t>八、 本协议书中词语含义与第三部分通用合同条款中赋予的含义相同。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_Toc7854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0BB8037A">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_Toc26908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lang w:val="en-US" w:eastAsia="zh-CN"/>
        </w:rPr>
        <w:t>九、 签订时间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_Toc26908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7FA62522">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_Toc16995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lang w:val="en-US" w:eastAsia="zh-CN"/>
        </w:rPr>
        <w:t>十、 签订地点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_Toc16995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34BF9D3E">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_Toc31812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lang w:val="en-US" w:eastAsia="zh-CN"/>
        </w:rPr>
        <w:t>十一、 补充协议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_Toc31812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34E03C6C">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_Toc13623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lang w:val="en-US" w:eastAsia="zh-CN"/>
        </w:rPr>
        <w:t>十二、 合同生效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_Toc13623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256BFBBE">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_Toc103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lang w:val="en-US" w:eastAsia="zh-CN"/>
        </w:rPr>
        <w:t>十三、 合同份数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_Toc103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2F58E28A">
      <w:pPr>
        <w:pStyle w:val="28"/>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_Toc13191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kern w:val="44"/>
          <w:sz w:val="24"/>
          <w:szCs w:val="24"/>
        </w:rPr>
        <w:t>第二部分 合同条款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_Toc13191 \h </w:instrText>
      </w:r>
      <w:r>
        <w:rPr>
          <w:rFonts w:hint="eastAsia" w:ascii="宋体" w:hAnsi="宋体" w:eastAsia="宋体" w:cs="宋体"/>
          <w:sz w:val="24"/>
          <w:szCs w:val="24"/>
        </w:rPr>
        <w:fldChar w:fldCharType="separate"/>
      </w:r>
      <w:r>
        <w:rPr>
          <w:rFonts w:hint="eastAsia" w:ascii="宋体" w:hAnsi="宋体" w:eastAsia="宋体" w:cs="宋体"/>
          <w:sz w:val="24"/>
          <w:szCs w:val="24"/>
        </w:rPr>
        <w:t>34</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550A58BA">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_Toc25639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rPr>
        <w:t>第一章 合同专用条款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_Toc25639 \h </w:instrText>
      </w:r>
      <w:r>
        <w:rPr>
          <w:rFonts w:hint="eastAsia" w:ascii="宋体" w:hAnsi="宋体" w:eastAsia="宋体" w:cs="宋体"/>
          <w:sz w:val="24"/>
          <w:szCs w:val="24"/>
        </w:rPr>
        <w:fldChar w:fldCharType="separate"/>
      </w:r>
      <w:r>
        <w:rPr>
          <w:rFonts w:hint="eastAsia" w:ascii="宋体" w:hAnsi="宋体" w:eastAsia="宋体" w:cs="宋体"/>
          <w:sz w:val="24"/>
          <w:szCs w:val="24"/>
        </w:rPr>
        <w:t>35</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257175CC">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_Toc6325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rPr>
        <w:t>第二章 合同通用条款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_Toc6325 \h </w:instrText>
      </w:r>
      <w:r>
        <w:rPr>
          <w:rFonts w:hint="eastAsia" w:ascii="宋体" w:hAnsi="宋体" w:eastAsia="宋体" w:cs="宋体"/>
          <w:sz w:val="24"/>
          <w:szCs w:val="24"/>
        </w:rPr>
        <w:fldChar w:fldCharType="separate"/>
      </w:r>
      <w:r>
        <w:rPr>
          <w:rFonts w:hint="eastAsia" w:ascii="宋体" w:hAnsi="宋体" w:eastAsia="宋体" w:cs="宋体"/>
          <w:sz w:val="24"/>
          <w:szCs w:val="24"/>
        </w:rPr>
        <w:t>55</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0B970D73">
      <w:pPr>
        <w:pStyle w:val="28"/>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_Toc16409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kern w:val="44"/>
          <w:sz w:val="24"/>
          <w:szCs w:val="24"/>
        </w:rPr>
        <w:t xml:space="preserve">第三部分  </w:t>
      </w:r>
      <w:r>
        <w:rPr>
          <w:rFonts w:hint="eastAsia" w:ascii="宋体" w:hAnsi="宋体" w:eastAsia="宋体" w:cs="宋体"/>
          <w:sz w:val="24"/>
          <w:szCs w:val="24"/>
        </w:rPr>
        <w:t>技术标准和工程建设标准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_Toc16409 \h </w:instrText>
      </w:r>
      <w:r>
        <w:rPr>
          <w:rFonts w:hint="eastAsia" w:ascii="宋体" w:hAnsi="宋体" w:eastAsia="宋体" w:cs="宋体"/>
          <w:sz w:val="24"/>
          <w:szCs w:val="24"/>
        </w:rPr>
        <w:fldChar w:fldCharType="separate"/>
      </w:r>
      <w:r>
        <w:rPr>
          <w:rFonts w:hint="eastAsia" w:ascii="宋体" w:hAnsi="宋体" w:eastAsia="宋体" w:cs="宋体"/>
          <w:sz w:val="24"/>
          <w:szCs w:val="24"/>
        </w:rPr>
        <w:t>64</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12520AF9">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_Toc4758 </w:instrText>
      </w:r>
      <w:r>
        <w:rPr>
          <w:rFonts w:hint="eastAsia" w:ascii="宋体" w:hAnsi="宋体" w:eastAsia="宋体" w:cs="宋体"/>
          <w:bCs/>
          <w:snapToGrid w:val="0"/>
          <w:kern w:val="44"/>
          <w:sz w:val="24"/>
          <w:szCs w:val="24"/>
        </w:rPr>
        <w:fldChar w:fldCharType="separate"/>
      </w:r>
      <w:r>
        <w:rPr>
          <w:rFonts w:hint="eastAsia" w:ascii="宋体" w:hAnsi="宋体" w:eastAsia="宋体" w:cs="宋体"/>
          <w:snapToGrid w:val="0"/>
          <w:sz w:val="24"/>
          <w:szCs w:val="24"/>
        </w:rPr>
        <w:t>第一章</w:t>
      </w:r>
      <w:r>
        <w:rPr>
          <w:rFonts w:hint="eastAsia" w:ascii="宋体" w:hAnsi="宋体" w:eastAsia="宋体" w:cs="宋体"/>
          <w:snapToGrid w:val="0"/>
          <w:sz w:val="24"/>
          <w:szCs w:val="24"/>
          <w:lang w:val="en-US" w:eastAsia="zh-CN"/>
        </w:rPr>
        <w:t>监理</w:t>
      </w:r>
      <w:r>
        <w:rPr>
          <w:rFonts w:hint="eastAsia" w:ascii="宋体" w:hAnsi="宋体" w:eastAsia="宋体" w:cs="宋体"/>
          <w:snapToGrid w:val="0"/>
          <w:sz w:val="24"/>
          <w:szCs w:val="24"/>
          <w:lang w:eastAsia="zh-CN"/>
        </w:rPr>
        <w:t>人</w:t>
      </w:r>
      <w:r>
        <w:rPr>
          <w:rFonts w:hint="eastAsia" w:ascii="宋体" w:hAnsi="宋体" w:eastAsia="宋体" w:cs="宋体"/>
          <w:snapToGrid w:val="0"/>
          <w:sz w:val="24"/>
          <w:szCs w:val="24"/>
        </w:rPr>
        <w:t>的工作范围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_Toc4758 \h </w:instrText>
      </w:r>
      <w:r>
        <w:rPr>
          <w:rFonts w:hint="eastAsia" w:ascii="宋体" w:hAnsi="宋体" w:eastAsia="宋体" w:cs="宋体"/>
          <w:sz w:val="24"/>
          <w:szCs w:val="24"/>
        </w:rPr>
        <w:fldChar w:fldCharType="separate"/>
      </w:r>
      <w:r>
        <w:rPr>
          <w:rFonts w:hint="eastAsia" w:ascii="宋体" w:hAnsi="宋体" w:eastAsia="宋体" w:cs="宋体"/>
          <w:sz w:val="24"/>
          <w:szCs w:val="24"/>
        </w:rPr>
        <w:t>65</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1390FD60">
      <w:pPr>
        <w:pStyle w:val="19"/>
        <w:tabs>
          <w:tab w:val="right" w:leader="dot" w:pos="9354"/>
          <w:tab w:val="clear" w:pos="142"/>
          <w:tab w:val="clear" w:pos="735"/>
          <w:tab w:val="clear" w:pos="9072"/>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_Toc24914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rPr>
        <w:t>1. 工作范围说明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_Toc24914 \h </w:instrText>
      </w:r>
      <w:r>
        <w:rPr>
          <w:rFonts w:hint="eastAsia" w:ascii="宋体" w:hAnsi="宋体" w:eastAsia="宋体" w:cs="宋体"/>
          <w:sz w:val="24"/>
          <w:szCs w:val="24"/>
        </w:rPr>
        <w:fldChar w:fldCharType="separate"/>
      </w:r>
      <w:r>
        <w:rPr>
          <w:rFonts w:hint="eastAsia" w:ascii="宋体" w:hAnsi="宋体" w:eastAsia="宋体" w:cs="宋体"/>
          <w:sz w:val="24"/>
          <w:szCs w:val="24"/>
        </w:rPr>
        <w:t>65</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0CCB6D95">
      <w:pPr>
        <w:pStyle w:val="19"/>
        <w:tabs>
          <w:tab w:val="right" w:leader="dot" w:pos="9354"/>
          <w:tab w:val="clear" w:pos="142"/>
          <w:tab w:val="clear" w:pos="735"/>
          <w:tab w:val="clear" w:pos="9072"/>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_Toc506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sz w:val="24"/>
          <w:szCs w:val="24"/>
        </w:rPr>
        <w:t>2. 工程内容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_Toc506 \h </w:instrText>
      </w:r>
      <w:r>
        <w:rPr>
          <w:rFonts w:hint="eastAsia" w:ascii="宋体" w:hAnsi="宋体" w:eastAsia="宋体" w:cs="宋体"/>
          <w:sz w:val="24"/>
          <w:szCs w:val="24"/>
        </w:rPr>
        <w:fldChar w:fldCharType="separate"/>
      </w:r>
      <w:r>
        <w:rPr>
          <w:rFonts w:hint="eastAsia" w:ascii="宋体" w:hAnsi="宋体" w:eastAsia="宋体" w:cs="宋体"/>
          <w:sz w:val="24"/>
          <w:szCs w:val="24"/>
        </w:rPr>
        <w:t>65</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75090F5B">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_Toc6941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kern w:val="2"/>
          <w:sz w:val="24"/>
          <w:szCs w:val="24"/>
          <w:lang w:val="en-US" w:eastAsia="zh-CN" w:bidi="ar-SA"/>
        </w:rPr>
        <w:t>第二章  适用于本项目的技术标准和工程建设标准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_Toc6941 \h </w:instrText>
      </w:r>
      <w:r>
        <w:rPr>
          <w:rFonts w:hint="eastAsia" w:ascii="宋体" w:hAnsi="宋体" w:eastAsia="宋体" w:cs="宋体"/>
          <w:sz w:val="24"/>
          <w:szCs w:val="24"/>
        </w:rPr>
        <w:fldChar w:fldCharType="separate"/>
      </w:r>
      <w:r>
        <w:rPr>
          <w:rFonts w:hint="eastAsia" w:ascii="宋体" w:hAnsi="宋体" w:eastAsia="宋体" w:cs="宋体"/>
          <w:sz w:val="24"/>
          <w:szCs w:val="24"/>
        </w:rPr>
        <w:t>66</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781DBFB4">
      <w:pPr>
        <w:pStyle w:val="28"/>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_Toc14678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kern w:val="44"/>
          <w:sz w:val="24"/>
          <w:szCs w:val="24"/>
        </w:rPr>
        <w:t>第四部分  合同清单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_Toc14678 \h </w:instrText>
      </w:r>
      <w:r>
        <w:rPr>
          <w:rFonts w:hint="eastAsia" w:ascii="宋体" w:hAnsi="宋体" w:eastAsia="宋体" w:cs="宋体"/>
          <w:sz w:val="24"/>
          <w:szCs w:val="24"/>
        </w:rPr>
        <w:fldChar w:fldCharType="separate"/>
      </w:r>
      <w:r>
        <w:rPr>
          <w:rFonts w:hint="eastAsia" w:ascii="宋体" w:hAnsi="宋体" w:eastAsia="宋体" w:cs="宋体"/>
          <w:sz w:val="24"/>
          <w:szCs w:val="24"/>
        </w:rPr>
        <w:t>68</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60B738CA">
      <w:pPr>
        <w:pStyle w:val="28"/>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_Toc20725 </w:instrText>
      </w:r>
      <w:r>
        <w:rPr>
          <w:rFonts w:hint="eastAsia" w:ascii="宋体" w:hAnsi="宋体" w:eastAsia="宋体" w:cs="宋体"/>
          <w:bCs/>
          <w:snapToGrid w:val="0"/>
          <w:kern w:val="44"/>
          <w:sz w:val="24"/>
          <w:szCs w:val="24"/>
        </w:rPr>
        <w:fldChar w:fldCharType="separate"/>
      </w:r>
      <w:r>
        <w:rPr>
          <w:rFonts w:hint="eastAsia" w:ascii="宋体" w:hAnsi="宋体" w:eastAsia="宋体" w:cs="宋体"/>
          <w:bCs/>
          <w:snapToGrid w:val="0"/>
          <w:kern w:val="44"/>
          <w:sz w:val="24"/>
          <w:szCs w:val="24"/>
        </w:rPr>
        <w:t>第五部分  合同附件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_Toc20725 \h </w:instrText>
      </w:r>
      <w:r>
        <w:rPr>
          <w:rFonts w:hint="eastAsia" w:ascii="宋体" w:hAnsi="宋体" w:eastAsia="宋体" w:cs="宋体"/>
          <w:sz w:val="24"/>
          <w:szCs w:val="24"/>
        </w:rPr>
        <w:fldChar w:fldCharType="separate"/>
      </w:r>
      <w:r>
        <w:rPr>
          <w:rFonts w:hint="eastAsia" w:ascii="宋体" w:hAnsi="宋体" w:eastAsia="宋体" w:cs="宋体"/>
          <w:sz w:val="24"/>
          <w:szCs w:val="24"/>
        </w:rPr>
        <w:t>69</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5CDA15D8">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_Toc26026 </w:instrText>
      </w:r>
      <w:r>
        <w:rPr>
          <w:rFonts w:hint="eastAsia" w:ascii="宋体" w:hAnsi="宋体" w:eastAsia="宋体" w:cs="宋体"/>
          <w:bCs/>
          <w:snapToGrid w:val="0"/>
          <w:kern w:val="44"/>
          <w:sz w:val="24"/>
          <w:szCs w:val="24"/>
        </w:rPr>
        <w:fldChar w:fldCharType="separate"/>
      </w:r>
      <w:r>
        <w:rPr>
          <w:rFonts w:hint="eastAsia" w:ascii="宋体" w:hAnsi="宋体" w:eastAsia="宋体" w:cs="宋体"/>
          <w:sz w:val="24"/>
          <w:szCs w:val="24"/>
          <w:lang w:val="en-US" w:eastAsia="zh-CN"/>
        </w:rPr>
        <w:t>合同附件1</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_Toc26026 \h </w:instrText>
      </w:r>
      <w:r>
        <w:rPr>
          <w:rFonts w:hint="eastAsia" w:ascii="宋体" w:hAnsi="宋体" w:eastAsia="宋体" w:cs="宋体"/>
          <w:sz w:val="24"/>
          <w:szCs w:val="24"/>
        </w:rPr>
        <w:fldChar w:fldCharType="separate"/>
      </w:r>
      <w:r>
        <w:rPr>
          <w:rFonts w:hint="eastAsia" w:ascii="宋体" w:hAnsi="宋体" w:eastAsia="宋体" w:cs="宋体"/>
          <w:sz w:val="24"/>
          <w:szCs w:val="24"/>
        </w:rPr>
        <w:t>70</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1C1F86D1">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_Toc15747 </w:instrText>
      </w:r>
      <w:r>
        <w:rPr>
          <w:rFonts w:hint="eastAsia" w:ascii="宋体" w:hAnsi="宋体" w:eastAsia="宋体" w:cs="宋体"/>
          <w:bCs/>
          <w:snapToGrid w:val="0"/>
          <w:kern w:val="44"/>
          <w:sz w:val="24"/>
          <w:szCs w:val="24"/>
        </w:rPr>
        <w:fldChar w:fldCharType="separate"/>
      </w:r>
      <w:r>
        <w:rPr>
          <w:rFonts w:hint="eastAsia" w:ascii="宋体" w:hAnsi="宋体" w:eastAsia="宋体" w:cs="宋体"/>
          <w:sz w:val="24"/>
          <w:szCs w:val="24"/>
          <w:lang w:val="en-US" w:eastAsia="zh-CN"/>
        </w:rPr>
        <w:t>合同附件2</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_Toc15747 \h </w:instrText>
      </w:r>
      <w:r>
        <w:rPr>
          <w:rFonts w:hint="eastAsia" w:ascii="宋体" w:hAnsi="宋体" w:eastAsia="宋体" w:cs="宋体"/>
          <w:sz w:val="24"/>
          <w:szCs w:val="24"/>
        </w:rPr>
        <w:fldChar w:fldCharType="separate"/>
      </w:r>
      <w:r>
        <w:rPr>
          <w:rFonts w:hint="eastAsia" w:ascii="宋体" w:hAnsi="宋体" w:eastAsia="宋体" w:cs="宋体"/>
          <w:sz w:val="24"/>
          <w:szCs w:val="24"/>
        </w:rPr>
        <w:t>71</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27903C75">
      <w:pPr>
        <w:pStyle w:val="33"/>
        <w:tabs>
          <w:tab w:val="right" w:leader="dot" w:pos="9354"/>
          <w:tab w:val="clear" w:pos="9060"/>
        </w:tabs>
        <w:rPr>
          <w:rFonts w:hint="eastAsia" w:ascii="宋体" w:hAnsi="宋体" w:eastAsia="宋体" w:cs="宋体"/>
          <w:sz w:val="24"/>
          <w:szCs w:val="24"/>
        </w:rPr>
      </w:pPr>
      <w:r>
        <w:rPr>
          <w:rFonts w:hint="eastAsia" w:ascii="宋体" w:hAnsi="宋体" w:eastAsia="宋体" w:cs="宋体"/>
          <w:bCs/>
          <w:snapToGrid w:val="0"/>
          <w:color w:val="000000" w:themeColor="text1"/>
          <w:kern w:val="44"/>
          <w:sz w:val="24"/>
          <w:szCs w:val="24"/>
          <w14:textFill>
            <w14:solidFill>
              <w14:schemeClr w14:val="tx1"/>
            </w14:solidFill>
          </w14:textFill>
        </w:rPr>
        <w:fldChar w:fldCharType="begin"/>
      </w:r>
      <w:r>
        <w:rPr>
          <w:rFonts w:hint="eastAsia" w:ascii="宋体" w:hAnsi="宋体" w:eastAsia="宋体" w:cs="宋体"/>
          <w:bCs/>
          <w:snapToGrid w:val="0"/>
          <w:kern w:val="44"/>
          <w:sz w:val="24"/>
          <w:szCs w:val="24"/>
        </w:rPr>
        <w:instrText xml:space="preserve"> HYPERLINK \l _Toc14846 </w:instrText>
      </w:r>
      <w:r>
        <w:rPr>
          <w:rFonts w:hint="eastAsia" w:ascii="宋体" w:hAnsi="宋体" w:eastAsia="宋体" w:cs="宋体"/>
          <w:bCs/>
          <w:snapToGrid w:val="0"/>
          <w:kern w:val="44"/>
          <w:sz w:val="24"/>
          <w:szCs w:val="24"/>
        </w:rPr>
        <w:fldChar w:fldCharType="separate"/>
      </w:r>
      <w:r>
        <w:rPr>
          <w:rFonts w:hint="eastAsia" w:ascii="宋体" w:hAnsi="宋体" w:eastAsia="宋体" w:cs="宋体"/>
          <w:sz w:val="24"/>
          <w:szCs w:val="24"/>
          <w:lang w:val="en-US" w:eastAsia="zh-CN"/>
        </w:rPr>
        <w:t>合同附件3</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_Toc14846 \h </w:instrText>
      </w:r>
      <w:r>
        <w:rPr>
          <w:rFonts w:hint="eastAsia" w:ascii="宋体" w:hAnsi="宋体" w:eastAsia="宋体" w:cs="宋体"/>
          <w:sz w:val="24"/>
          <w:szCs w:val="24"/>
        </w:rPr>
        <w:fldChar w:fldCharType="separate"/>
      </w:r>
      <w:r>
        <w:rPr>
          <w:rFonts w:hint="eastAsia" w:ascii="宋体" w:hAnsi="宋体" w:eastAsia="宋体" w:cs="宋体"/>
          <w:sz w:val="24"/>
          <w:szCs w:val="24"/>
        </w:rPr>
        <w:t>73</w:t>
      </w:r>
      <w:r>
        <w:rPr>
          <w:rFonts w:hint="eastAsia" w:ascii="宋体" w:hAnsi="宋体" w:eastAsia="宋体" w:cs="宋体"/>
          <w:sz w:val="24"/>
          <w:szCs w:val="24"/>
        </w:rPr>
        <w:fldChar w:fldCharType="end"/>
      </w:r>
      <w:r>
        <w:rPr>
          <w:rFonts w:hint="eastAsia" w:ascii="宋体" w:hAnsi="宋体" w:eastAsia="宋体" w:cs="宋体"/>
          <w:bCs/>
          <w:snapToGrid w:val="0"/>
          <w:color w:val="000000" w:themeColor="text1"/>
          <w:kern w:val="44"/>
          <w:sz w:val="24"/>
          <w:szCs w:val="24"/>
          <w14:textFill>
            <w14:solidFill>
              <w14:schemeClr w14:val="tx1"/>
            </w14:solidFill>
          </w14:textFill>
        </w:rPr>
        <w:fldChar w:fldCharType="end"/>
      </w:r>
    </w:p>
    <w:p w14:paraId="40A819F1">
      <w:pPr>
        <w:keepNext/>
        <w:keepLines/>
        <w:tabs>
          <w:tab w:val="right" w:leader="dot" w:pos="9344"/>
        </w:tabs>
        <w:ind w:left="283" w:leftChars="135" w:right="210" w:rightChars="100"/>
        <w:jc w:val="center"/>
        <w:outlineLvl w:val="0"/>
        <w:rPr>
          <w:rFonts w:hint="eastAsia" w:ascii="宋体" w:hAnsi="宋体" w:eastAsia="宋体" w:cs="宋体"/>
          <w:b/>
          <w:bCs/>
          <w:snapToGrid w:val="0"/>
          <w:color w:val="000000" w:themeColor="text1"/>
          <w:kern w:val="44"/>
          <w:sz w:val="24"/>
          <w:szCs w:val="24"/>
          <w14:textFill>
            <w14:solidFill>
              <w14:schemeClr w14:val="tx1"/>
            </w14:solidFill>
          </w14:textFill>
        </w:rPr>
      </w:pPr>
      <w:r>
        <w:rPr>
          <w:rFonts w:hint="eastAsia" w:ascii="宋体" w:hAnsi="宋体" w:eastAsia="宋体" w:cs="宋体"/>
          <w:bCs/>
          <w:snapToGrid w:val="0"/>
          <w:color w:val="000000" w:themeColor="text1"/>
          <w:kern w:val="44"/>
          <w:szCs w:val="24"/>
          <w14:textFill>
            <w14:solidFill>
              <w14:schemeClr w14:val="tx1"/>
            </w14:solidFill>
          </w14:textFill>
        </w:rPr>
        <w:fldChar w:fldCharType="end"/>
      </w:r>
    </w:p>
    <w:p w14:paraId="24628867">
      <w:pPr>
        <w:tabs>
          <w:tab w:val="right" w:leader="dot" w:pos="9344"/>
        </w:tabs>
        <w:spacing w:line="300" w:lineRule="auto"/>
        <w:ind w:left="283" w:leftChars="135" w:right="210" w:rightChars="100"/>
        <w:jc w:val="both"/>
        <w:rPr>
          <w:rFonts w:hint="eastAsia" w:ascii="宋体" w:hAnsi="宋体" w:eastAsia="宋体" w:cs="宋体"/>
          <w:b/>
          <w:snapToGrid w:val="0"/>
          <w:color w:val="000000" w:themeColor="text1"/>
          <w:sz w:val="24"/>
          <w:szCs w:val="24"/>
          <w14:textFill>
            <w14:solidFill>
              <w14:schemeClr w14:val="tx1"/>
            </w14:solidFill>
          </w14:textFill>
        </w:rPr>
        <w:sectPr>
          <w:pgSz w:w="11906" w:h="16838"/>
          <w:pgMar w:top="1134" w:right="1134" w:bottom="1134" w:left="1418" w:header="567" w:footer="567" w:gutter="0"/>
          <w:pgNumType w:fmt="decimal"/>
          <w:cols w:space="425" w:num="1"/>
          <w:docGrid w:linePitch="312" w:charSpace="0"/>
        </w:sectPr>
      </w:pPr>
    </w:p>
    <w:p w14:paraId="7BDB6A22">
      <w:pPr>
        <w:keepNext/>
        <w:keepLines/>
        <w:pageBreakBefore/>
        <w:spacing w:before="120" w:beforeLines="50" w:line="360" w:lineRule="auto"/>
        <w:jc w:val="center"/>
        <w:outlineLvl w:val="1"/>
        <w:rPr>
          <w:rFonts w:hint="eastAsia" w:ascii="宋体" w:hAnsi="宋体" w:eastAsia="宋体" w:cs="宋体"/>
          <w:b/>
          <w:bCs/>
          <w:snapToGrid w:val="0"/>
          <w:color w:val="000000" w:themeColor="text1"/>
          <w:sz w:val="28"/>
          <w:szCs w:val="28"/>
          <w14:textFill>
            <w14:solidFill>
              <w14:schemeClr w14:val="tx1"/>
            </w14:solidFill>
          </w14:textFill>
        </w:rPr>
      </w:pPr>
      <w:bookmarkStart w:id="457" w:name="_Toc25639"/>
      <w:bookmarkStart w:id="458" w:name="_Toc26027"/>
      <w:bookmarkStart w:id="459" w:name="_Toc341124921"/>
      <w:bookmarkStart w:id="460" w:name="_Toc336440356"/>
      <w:bookmarkStart w:id="461" w:name="_Toc9767"/>
      <w:bookmarkStart w:id="462" w:name="_Toc4856"/>
      <w:bookmarkStart w:id="463" w:name="_Toc30760"/>
      <w:bookmarkStart w:id="464" w:name="_Toc15783"/>
      <w:bookmarkStart w:id="465" w:name="_Toc23796"/>
      <w:bookmarkStart w:id="466" w:name="_Toc20754"/>
      <w:r>
        <w:rPr>
          <w:rFonts w:ascii="宋体" w:hAnsi="宋体" w:cs="Arial"/>
          <w:b/>
          <w:bCs/>
          <w:snapToGrid w:val="0"/>
          <w:color w:val="000000" w:themeColor="text1"/>
          <w:sz w:val="28"/>
          <w:szCs w:val="28"/>
          <w14:textFill>
            <w14:solidFill>
              <w14:schemeClr w14:val="tx1"/>
            </w14:solidFill>
          </w14:textFill>
        </w:rPr>
        <w:t>第一</w:t>
      </w:r>
      <w:r>
        <w:rPr>
          <w:rFonts w:hint="eastAsia" w:ascii="宋体" w:hAnsi="宋体" w:cs="Arial"/>
          <w:b/>
          <w:bCs/>
          <w:snapToGrid w:val="0"/>
          <w:color w:val="000000" w:themeColor="text1"/>
          <w:sz w:val="28"/>
          <w:szCs w:val="28"/>
          <w14:textFill>
            <w14:solidFill>
              <w14:schemeClr w14:val="tx1"/>
            </w14:solidFill>
          </w14:textFill>
        </w:rPr>
        <w:t>章</w:t>
      </w:r>
      <w:r>
        <w:rPr>
          <w:rFonts w:ascii="宋体" w:hAnsi="宋体" w:cs="Arial"/>
          <w:b/>
          <w:bCs/>
          <w:snapToGrid w:val="0"/>
          <w:color w:val="000000" w:themeColor="text1"/>
          <w:sz w:val="28"/>
          <w:szCs w:val="28"/>
          <w14:textFill>
            <w14:solidFill>
              <w14:schemeClr w14:val="tx1"/>
            </w14:solidFill>
          </w14:textFill>
        </w:rPr>
        <w:t xml:space="preserve"> 合同专用条款</w:t>
      </w:r>
      <w:bookmarkEnd w:id="452"/>
      <w:bookmarkEnd w:id="453"/>
      <w:bookmarkEnd w:id="454"/>
      <w:bookmarkEnd w:id="457"/>
      <w:bookmarkEnd w:id="458"/>
      <w:bookmarkEnd w:id="459"/>
      <w:bookmarkEnd w:id="460"/>
      <w:bookmarkEnd w:id="461"/>
      <w:bookmarkEnd w:id="462"/>
      <w:bookmarkEnd w:id="463"/>
      <w:bookmarkEnd w:id="464"/>
      <w:bookmarkEnd w:id="465"/>
      <w:bookmarkEnd w:id="466"/>
      <w:bookmarkStart w:id="467" w:name="_Toc9567"/>
      <w:bookmarkStart w:id="468" w:name="_Toc336432109"/>
      <w:bookmarkStart w:id="469" w:name="_Toc14670"/>
      <w:bookmarkStart w:id="470" w:name="_Toc25073"/>
      <w:bookmarkStart w:id="471" w:name="_Toc341124922"/>
      <w:bookmarkStart w:id="472" w:name="_Toc336440357"/>
      <w:bookmarkStart w:id="473" w:name="_Toc336433166"/>
      <w:bookmarkStart w:id="474" w:name="_Toc336433972"/>
      <w:bookmarkStart w:id="475" w:name="_Toc22483"/>
      <w:bookmarkStart w:id="476" w:name="_Toc29754"/>
      <w:bookmarkStart w:id="477" w:name="_Toc28663"/>
      <w:r>
        <w:rPr>
          <w:rFonts w:hint="eastAsia" w:ascii="宋体" w:hAnsi="宋体" w:eastAsia="宋体" w:cs="宋体"/>
          <w:b/>
          <w:bCs/>
          <w:snapToGrid w:val="0"/>
          <w:color w:val="000000" w:themeColor="text1"/>
          <w:sz w:val="28"/>
          <w:szCs w:val="28"/>
          <w14:textFill>
            <w14:solidFill>
              <w14:schemeClr w14:val="tx1"/>
            </w14:solidFill>
          </w14:textFill>
        </w:rPr>
        <w:t xml:space="preserve"> </w:t>
      </w:r>
      <w:bookmarkEnd w:id="467"/>
      <w:bookmarkEnd w:id="468"/>
      <w:bookmarkEnd w:id="469"/>
      <w:bookmarkEnd w:id="470"/>
      <w:bookmarkEnd w:id="471"/>
      <w:bookmarkEnd w:id="472"/>
      <w:bookmarkEnd w:id="473"/>
      <w:bookmarkEnd w:id="474"/>
    </w:p>
    <w:p w14:paraId="0B71B301">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本专用合同条款系根据本项目的具体情况，对本合同“通用条款”的内容作如下补充、细化，专用合同条款与通用合同条款不一致的，以专用合同条款约定为准：</w:t>
      </w:r>
    </w:p>
    <w:p w14:paraId="771C5305">
      <w:pPr>
        <w:keepNext w:val="0"/>
        <w:keepLines w:val="0"/>
        <w:pageBreakBefore w:val="0"/>
        <w:widowControl w:val="0"/>
        <w:numPr>
          <w:ilvl w:val="0"/>
          <w:numId w:val="50"/>
        </w:numPr>
        <w:kinsoku/>
        <w:wordWrap/>
        <w:overflowPunct/>
        <w:topLinePunct w:val="0"/>
        <w:autoSpaceDE/>
        <w:autoSpaceDN/>
        <w:bidi w:val="0"/>
        <w:adjustRightInd/>
        <w:snapToGrid/>
        <w:spacing w:line="360" w:lineRule="auto"/>
        <w:ind w:left="380" w:hanging="363"/>
        <w:textAlignment w:val="auto"/>
        <w:rPr>
          <w:rFonts w:hint="eastAsia" w:ascii="宋体" w:hAnsi="宋体" w:eastAsia="宋体" w:cs="宋体"/>
          <w:color w:val="auto"/>
          <w:position w:val="20"/>
          <w:sz w:val="24"/>
          <w:szCs w:val="24"/>
          <w:highlight w:val="none"/>
          <w14:textOutline w14:w="4064" w14:cap="flat" w14:cmpd="sng" w14:algn="ctr">
            <w14:solidFill>
              <w14:srgbClr w14:val="000000"/>
            </w14:solidFill>
            <w14:prstDash w14:val="solid"/>
            <w14:miter w14:val="0"/>
          </w14:textOutline>
        </w:rPr>
      </w:pPr>
      <w:r>
        <w:rPr>
          <w:rFonts w:hint="eastAsia" w:ascii="宋体" w:hAnsi="宋体" w:eastAsia="宋体" w:cs="宋体"/>
          <w:color w:val="auto"/>
          <w:position w:val="20"/>
          <w:sz w:val="24"/>
          <w:szCs w:val="24"/>
          <w:highlight w:val="none"/>
          <w14:textOutline w14:w="4064" w14:cap="flat" w14:cmpd="sng" w14:algn="ctr">
            <w14:solidFill>
              <w14:srgbClr w14:val="000000"/>
            </w14:solidFill>
            <w14:prstDash w14:val="solid"/>
            <w14:miter w14:val="0"/>
          </w14:textOutline>
        </w:rPr>
        <w:t>定义与解释</w:t>
      </w:r>
    </w:p>
    <w:p w14:paraId="38BBF10F">
      <w:pPr>
        <w:pageBreakBefore w:val="0"/>
        <w:kinsoku/>
        <w:wordWrap/>
        <w:overflowPunct/>
        <w:topLinePunct w:val="0"/>
        <w:autoSpaceDE/>
        <w:autoSpaceDN/>
        <w:bidi w:val="0"/>
        <w:spacing w:line="360" w:lineRule="auto"/>
        <w:ind w:left="17"/>
        <w:rPr>
          <w:rFonts w:hint="eastAsia" w:ascii="宋体" w:hAnsi="宋体" w:eastAsia="宋体" w:cs="宋体"/>
          <w:color w:val="auto"/>
          <w:sz w:val="24"/>
          <w:szCs w:val="24"/>
          <w:highlight w:val="none"/>
        </w:rPr>
      </w:pPr>
      <w:r>
        <w:rPr>
          <w:rFonts w:hint="eastAsia" w:ascii="宋体" w:hAnsi="宋体" w:eastAsia="宋体" w:cs="宋体"/>
          <w:color w:val="auto"/>
          <w:position w:val="20"/>
          <w:sz w:val="24"/>
          <w:szCs w:val="24"/>
          <w:highlight w:val="none"/>
          <w14:textOutline w14:w="4064" w14:cap="flat" w14:cmpd="sng" w14:algn="ctr">
            <w14:solidFill>
              <w14:srgbClr w14:val="000000"/>
            </w14:solidFill>
            <w14:prstDash w14:val="solid"/>
            <w14:miter w14:val="0"/>
          </w14:textOutline>
        </w:rPr>
        <w:t>1.1定义：按“通用合同条款”。</w:t>
      </w:r>
    </w:p>
    <w:p w14:paraId="0CE40666">
      <w:pPr>
        <w:pageBreakBefore w:val="0"/>
        <w:kinsoku/>
        <w:wordWrap/>
        <w:overflowPunct/>
        <w:topLinePunct w:val="0"/>
        <w:autoSpaceDE/>
        <w:autoSpaceDN/>
        <w:bidi w:val="0"/>
        <w:spacing w:line="360" w:lineRule="auto"/>
        <w:ind w:firstLine="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1.2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解释</w:t>
      </w:r>
    </w:p>
    <w:p w14:paraId="359BBCB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1.2.1 本合同文件除使用中文外，还可用</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 xml:space="preserve"> 。</w:t>
      </w:r>
    </w:p>
    <w:p w14:paraId="6F45107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1.2.2 约定本合同文件的解释顺序为：按“通用合同条款”。</w:t>
      </w:r>
    </w:p>
    <w:p w14:paraId="0B67451E">
      <w:pPr>
        <w:pageBreakBefore w:val="0"/>
        <w:kinsoku/>
        <w:wordWrap/>
        <w:overflowPunct/>
        <w:topLinePunct w:val="0"/>
        <w:autoSpaceDE/>
        <w:autoSpaceDN/>
        <w:bidi w:val="0"/>
        <w:spacing w:line="360" w:lineRule="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本条补充1.3联络：</w:t>
      </w:r>
    </w:p>
    <w:p w14:paraId="06891BE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1.3</w:t>
      </w:r>
      <w:r>
        <w:rPr>
          <w:rFonts w:hint="eastAsia" w:ascii="宋体" w:hAnsi="宋体" w:eastAsia="宋体" w:cs="宋体"/>
          <w:snapToGrid w:val="0"/>
          <w:color w:val="auto"/>
          <w:kern w:val="0"/>
          <w:sz w:val="24"/>
          <w:szCs w:val="24"/>
          <w:highlight w:val="none"/>
        </w:rPr>
        <w:t>委托人和监理人应将与合同有关的通知、批准、证明、证书、指示、指令、要求、请求、同意、意见、确定和决定等书面函件送达对方当事人。同时双方确认以下地址为彼此有效通讯地址，任一方以及法院、仲裁机构以下列指定送达方式向对方以下地址发出书面函件及诉讼、仲裁文书的，自发出日（邮戳）次日起满2日视为对方收到，当面签收的需签收后视为对方收到。快递、邮箱、函件方式发送的，接收方拒绝签收的不影响送达效力。任一方通讯地址发生变化的，应及时通知对方，变更地址的通知按上述规则视为被对方收到前，原地址视为没有变化。</w:t>
      </w:r>
    </w:p>
    <w:p w14:paraId="1981BF14">
      <w:pPr>
        <w:pageBreakBefore w:val="0"/>
        <w:widowControl/>
        <w:tabs>
          <w:tab w:val="left" w:pos="9072"/>
          <w:tab w:val="left" w:pos="9781"/>
        </w:tabs>
        <w:kinsoku/>
        <w:wordWrap/>
        <w:overflowPunct/>
        <w:topLinePunct w:val="0"/>
        <w:autoSpaceDE/>
        <w:autoSpaceDN/>
        <w:bidi w:val="0"/>
        <w:adjustRightInd w:val="0"/>
        <w:snapToGrid w:val="0"/>
        <w:spacing w:line="360" w:lineRule="auto"/>
        <w:ind w:right="120" w:rightChars="57"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委托人指定的接收人：</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 xml:space="preserve"> ，指定送达方式：当面签收 ，指定送达地点：</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指定电子邮箱：</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电话：</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w:t>
      </w:r>
    </w:p>
    <w:p w14:paraId="58E612E1">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监理人指定的接收人：</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 xml:space="preserve"> ，指定送达方式：快递、邮箱、函件或当面签收等任何</w:t>
      </w:r>
      <w:r>
        <w:rPr>
          <w:rFonts w:hint="eastAsia" w:ascii="宋体" w:hAnsi="宋体" w:eastAsia="宋体" w:cs="宋体"/>
          <w:color w:val="auto"/>
          <w:kern w:val="0"/>
          <w:sz w:val="24"/>
          <w:szCs w:val="24"/>
          <w:highlight w:val="none"/>
          <w:lang w:eastAsia="zh-CN"/>
        </w:rPr>
        <w:t>一种方式</w:t>
      </w:r>
      <w:r>
        <w:rPr>
          <w:rFonts w:hint="eastAsia" w:ascii="宋体" w:hAnsi="宋体" w:eastAsia="宋体" w:cs="宋体"/>
          <w:color w:val="auto"/>
          <w:kern w:val="0"/>
          <w:sz w:val="24"/>
          <w:szCs w:val="24"/>
          <w:highlight w:val="none"/>
        </w:rPr>
        <w:t>，指定送达地点：</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指定电子邮箱：</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电话：</w:t>
      </w:r>
      <w:r>
        <w:rPr>
          <w:rFonts w:hint="eastAsia" w:ascii="宋体" w:hAnsi="宋体" w:eastAsia="宋体" w:cs="宋体"/>
          <w:color w:val="auto"/>
          <w:kern w:val="0"/>
          <w:sz w:val="24"/>
          <w:szCs w:val="24"/>
          <w:highlight w:val="none"/>
          <w:u w:val="single"/>
        </w:rPr>
        <w:t xml:space="preserve">    /  </w:t>
      </w:r>
      <w:r>
        <w:rPr>
          <w:rFonts w:hint="eastAsia" w:ascii="宋体" w:hAnsi="宋体" w:eastAsia="宋体" w:cs="宋体"/>
          <w:color w:val="auto"/>
          <w:kern w:val="0"/>
          <w:sz w:val="24"/>
          <w:szCs w:val="24"/>
          <w:highlight w:val="none"/>
        </w:rPr>
        <w:t>。</w:t>
      </w:r>
    </w:p>
    <w:p w14:paraId="1B696F89">
      <w:pPr>
        <w:pageBreakBefore w:val="0"/>
        <w:kinsoku/>
        <w:wordWrap/>
        <w:overflowPunct/>
        <w:topLinePunct w:val="0"/>
        <w:autoSpaceDE/>
        <w:autoSpaceDN/>
        <w:bidi w:val="0"/>
        <w:spacing w:line="360" w:lineRule="auto"/>
        <w:ind w:firstLine="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监理人义务</w:t>
      </w:r>
    </w:p>
    <w:p w14:paraId="11BDA3A3">
      <w:pPr>
        <w:pageBreakBefore w:val="0"/>
        <w:kinsoku/>
        <w:wordWrap/>
        <w:overflowPunct/>
        <w:topLinePunct w:val="0"/>
        <w:autoSpaceDE/>
        <w:autoSpaceDN/>
        <w:bidi w:val="0"/>
        <w:spacing w:line="360" w:lineRule="auto"/>
        <w:ind w:firstLine="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2.1</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监理的范围和工作内容</w:t>
      </w:r>
    </w:p>
    <w:p w14:paraId="031B638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2.1.1 监理范围</w:t>
      </w:r>
    </w:p>
    <w:p w14:paraId="2C32E8B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包含但不限于本项目涉及到的所有建设内容的施工准备、施工以及工程竣工验收、工程结算、配合工程审计工作、质量缺陷期等全部相关监理工作，以及第三方检测、监测的配合工作。对该工程投资控制、进度控制、质量控制、建设安全</w:t>
      </w:r>
      <w:r>
        <w:rPr>
          <w:rFonts w:hint="eastAsia" w:ascii="宋体" w:hAnsi="宋体" w:eastAsia="宋体" w:cs="宋体"/>
          <w:snapToGrid w:val="0"/>
          <w:color w:val="auto"/>
          <w:kern w:val="0"/>
          <w:sz w:val="24"/>
          <w:szCs w:val="24"/>
          <w:highlight w:val="none"/>
          <w:lang w:val="en-US" w:eastAsia="zh-CN"/>
        </w:rPr>
        <w:t>监理法定职责</w:t>
      </w:r>
      <w:r>
        <w:rPr>
          <w:rFonts w:hint="eastAsia" w:ascii="宋体" w:hAnsi="宋体" w:eastAsia="宋体" w:cs="宋体"/>
          <w:snapToGrid w:val="0"/>
          <w:color w:val="auto"/>
          <w:kern w:val="0"/>
          <w:sz w:val="24"/>
          <w:szCs w:val="24"/>
          <w:highlight w:val="none"/>
        </w:rPr>
        <w:t>及文明施工的有效管理、组织协调，并进行工程合同管理和信息档案管理等。</w:t>
      </w:r>
    </w:p>
    <w:p w14:paraId="7D27C61B">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2.1.2 监理工作内容</w:t>
      </w:r>
    </w:p>
    <w:p w14:paraId="2B0517DB">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监理人应按委托人批准的监理规划和监理细则开展监理工作： 包括： 安全管理、“三控制、 两管理、一协调”即： 投资控制、质量控制、进度控制，合同管理、信息管理以及履行建设工程安全生产监理的法定职责，协调有关单位之间的工作关系。</w:t>
      </w:r>
    </w:p>
    <w:p w14:paraId="568BE63E">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监理主要工作内容包括但不限于：</w:t>
      </w:r>
    </w:p>
    <w:p w14:paraId="24E65622">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协助委托人办理开工手续以及协助业主办理报建手续；</w:t>
      </w:r>
    </w:p>
    <w:p w14:paraId="759FDCF9">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投标人应按委托人批准的监理规划和监理细则开展监理工作；</w:t>
      </w:r>
    </w:p>
    <w:p w14:paraId="43D3DF57">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审查承包人提交的开工报告、批准开工报告， 审查承包人各项施工准备工作， 经招标人批准后，负责向承包人下达开工令；</w:t>
      </w:r>
    </w:p>
    <w:p w14:paraId="4385443E">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督促承包人施工管理制度和质量保证体系的建立、健全与实施；</w:t>
      </w:r>
    </w:p>
    <w:p w14:paraId="113BC506">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审查承包人提交的施工组织设计、施工技术方案、施工质量保证措施、安全文明施工措 施和专项安全技术方案并督促实施</w:t>
      </w:r>
      <w:r>
        <w:rPr>
          <w:rFonts w:hint="eastAsia" w:ascii="宋体" w:hAnsi="宋体" w:eastAsia="宋体" w:cs="宋体"/>
          <w:snapToGrid w:val="0"/>
          <w:color w:val="auto"/>
          <w:kern w:val="0"/>
          <w:sz w:val="24"/>
          <w:szCs w:val="24"/>
          <w:highlight w:val="none"/>
          <w:lang w:eastAsia="zh-CN"/>
        </w:rPr>
        <w:t>。</w:t>
      </w:r>
    </w:p>
    <w:p w14:paraId="22A453EB">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编制进度目标控制计划、审查承包商编制的网络进度计划，经招标人批准后组织实施；</w:t>
      </w:r>
    </w:p>
    <w:p w14:paraId="0DD227EE">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组织设计交底，图纸会审，审查设计变更；</w:t>
      </w:r>
    </w:p>
    <w:p w14:paraId="212F4951">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根据施工合同约定，审核承包人提出的分包工程项目及选择分包的单位；</w:t>
      </w:r>
    </w:p>
    <w:p w14:paraId="4B37CDFC">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编制投资目标控制计划， 审核承包人的已完工程量及月进度报表，投标人审核并签署工程中期付款进度报表，经跟踪审核单位审查，报招标人审核批准后办理支付手续，签署中期付款凭证；</w:t>
      </w:r>
    </w:p>
    <w:p w14:paraId="63ECD898">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设计变更经设计单位审核、委托人批准后， 由投标人发出施工工程变更令；检查工程变更执行情况并作出书面记录；</w:t>
      </w:r>
    </w:p>
    <w:p w14:paraId="6DCA38D9">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检查施工现场原材料、构配件的采购、入库、保管、领用等管理制度及其执行情况； 审查工程使用的原材料、半成品、成品、构配件和设备的实物质量和资料，并按规定进行检测 和监控，对有疑问的必须进行复测；参与材料设备的认质工作；</w:t>
      </w:r>
    </w:p>
    <w:p w14:paraId="27E8718B">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监督承包人严格按国家有关技术规范、标准和设计文件施工；</w:t>
      </w:r>
    </w:p>
    <w:p w14:paraId="00ED8369">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编制质量目标控制计划，控制工程质量，对工程的重要部位督促承包人实施预控措施；</w:t>
      </w:r>
    </w:p>
    <w:p w14:paraId="75FCA7C5">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抽查工程施工质量，必须对隐蔽工程实施旁站监理，与招标人现场代表共同对隐蔽工程进行复验签证，主持工程质量事故的调查、分析及处理；</w:t>
      </w:r>
    </w:p>
    <w:p w14:paraId="03DB90B0">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分阶段进行进度控制， 及时提出调整意见，督促承包人按批准的施工进度计划组织施 工，定期对工程进度完成情况进行检查并向委托人报告相关情况；</w:t>
      </w:r>
    </w:p>
    <w:p w14:paraId="32753A2B">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对工程承发包合同实施管理，处理合同纠纷和索赔事宜，协调委托人与承包人之间的争议；</w:t>
      </w:r>
    </w:p>
    <w:p w14:paraId="2C79B144">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督促检查安全生产，文明施工；</w:t>
      </w:r>
    </w:p>
    <w:p w14:paraId="5742802F">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现场监理工程师如实填写监理日志并报总监审核。监理人如实编制监理工作月报、监理工作总结和质检运行报告，报委托人和有关主管部门，并按规定要求提交归档资料；</w:t>
      </w:r>
    </w:p>
    <w:p w14:paraId="6F69B563">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督促承包人按合同规定及要求整理施工技术档案资料；认真审核竣工图纸和其他技术 文件资料；</w:t>
      </w:r>
    </w:p>
    <w:p w14:paraId="4AAF6DD6">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组织对工程初验， 参与工程竣工验收，对施工质量提出评价意见，对工程使用中出现的缺陷及时调查原因，确定相应责任方和整改方案并督促承包人进行修改；</w:t>
      </w:r>
    </w:p>
    <w:p w14:paraId="022808B9">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审核竣工图纸和其他技术文件资料；</w:t>
      </w:r>
    </w:p>
    <w:p w14:paraId="7DC46164">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工程完工后，编制监理工作竣工文件及档案资料和项目工程最终总结；</w:t>
      </w:r>
    </w:p>
    <w:p w14:paraId="715B2130">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工程完工交验合格后，经招标人批准，向承包人签发交工验收证书和工程缺陷责任终止证书；</w:t>
      </w:r>
    </w:p>
    <w:p w14:paraId="2EA6FD1C">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审查承包人的最终付款申请，经招标人批准后，向承包人签发最终支付证书。</w:t>
      </w:r>
    </w:p>
    <w:p w14:paraId="05592639">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严格按照《建筑工程安全施工管理条例》、《安全生产法》和《关于落实建设工程安全生产监理责任的若干意见》（建市[2006]248 号）等国家、地方颁布的安全法律、法规开展安全监理工作，认真履行监理的安全责任。</w:t>
      </w:r>
    </w:p>
    <w:p w14:paraId="20EADBE4">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现场需常驻造价工程师对设计变更、签证、新增内容、月进度报表进行核价，并在施 工单位报价后 3 天内复核完毕送委托人。</w:t>
      </w:r>
    </w:p>
    <w:p w14:paraId="34CEBEB5">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配合委托人完成工程结算相关工作。</w:t>
      </w:r>
    </w:p>
    <w:p w14:paraId="1AC9168D">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监理人不得</w:t>
      </w:r>
      <w:r>
        <w:rPr>
          <w:rFonts w:hint="eastAsia" w:ascii="宋体" w:hAnsi="宋体" w:eastAsia="宋体" w:cs="宋体"/>
          <w:snapToGrid w:val="0"/>
          <w:color w:val="auto"/>
          <w:kern w:val="0"/>
          <w:sz w:val="24"/>
          <w:szCs w:val="24"/>
          <w:highlight w:val="none"/>
          <w:lang w:val="en-US" w:eastAsia="zh-CN"/>
        </w:rPr>
        <w:t>与施工单位在一起同</w:t>
      </w:r>
      <w:r>
        <w:rPr>
          <w:rFonts w:hint="eastAsia" w:ascii="宋体" w:hAnsi="宋体" w:eastAsia="宋体" w:cs="宋体"/>
          <w:snapToGrid w:val="0"/>
          <w:color w:val="auto"/>
          <w:kern w:val="0"/>
          <w:sz w:val="24"/>
          <w:szCs w:val="24"/>
          <w:highlight w:val="none"/>
        </w:rPr>
        <w:t>办公</w:t>
      </w:r>
      <w:r>
        <w:rPr>
          <w:rFonts w:hint="eastAsia" w:ascii="宋体" w:hAnsi="宋体" w:eastAsia="宋体" w:cs="宋体"/>
          <w:snapToGrid w:val="0"/>
          <w:color w:val="auto"/>
          <w:kern w:val="0"/>
          <w:sz w:val="24"/>
          <w:szCs w:val="24"/>
          <w:highlight w:val="none"/>
          <w:lang w:val="en-US" w:eastAsia="zh-CN"/>
        </w:rPr>
        <w:t>室</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同就餐</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同住</w:t>
      </w:r>
      <w:r>
        <w:rPr>
          <w:rFonts w:hint="eastAsia" w:ascii="宋体" w:hAnsi="宋体" w:eastAsia="宋体" w:cs="宋体"/>
          <w:snapToGrid w:val="0"/>
          <w:color w:val="auto"/>
          <w:kern w:val="0"/>
          <w:sz w:val="24"/>
          <w:szCs w:val="24"/>
          <w:highlight w:val="none"/>
        </w:rPr>
        <w:t>宿，监理人应遵照和执行《关于实施房屋市政工程监理工作“十不准”规定的通知》（渝建质安〔2021〕63号）</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具体由委托人提供办公、住宿等必要的条件，满足监理工作的需要。</w:t>
      </w:r>
    </w:p>
    <w:p w14:paraId="0BAFD0AC">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完成《建设工程监理规范》（GB/T50319-2013） 规定的其他相应监理工作内容。</w:t>
      </w:r>
    </w:p>
    <w:p w14:paraId="6FF00AC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本款补充 2.1.3 监理目标：</w:t>
      </w:r>
    </w:p>
    <w:p w14:paraId="58FB7B5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1.投资控制目标：</w:t>
      </w:r>
    </w:p>
    <w:p w14:paraId="7A465440">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控制在审定的初步设计概算之内；</w:t>
      </w:r>
    </w:p>
    <w:p w14:paraId="680F021D">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严格控制工程变更，不给工程造成额外费用；</w:t>
      </w:r>
    </w:p>
    <w:p w14:paraId="0801AAFE">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严格计量，无超前支付发生。</w:t>
      </w:r>
    </w:p>
    <w:p w14:paraId="6E2E05FC">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2、进度控制目标：建设期施工计划内。</w:t>
      </w:r>
    </w:p>
    <w:p w14:paraId="6A3EF42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3、质量控制目标： 达到国家地方行业规范和国家有关施工质量验收规范要求， 并一次性验收合格。</w:t>
      </w:r>
    </w:p>
    <w:p w14:paraId="3C0C1DA2">
      <w:pPr>
        <w:pageBreakBefore w:val="0"/>
        <w:kinsoku/>
        <w:wordWrap/>
        <w:overflowPunct/>
        <w:topLinePunct w:val="0"/>
        <w:autoSpaceDE/>
        <w:autoSpaceDN/>
        <w:bidi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4、安全控制目标：无重大安全责任事故</w:t>
      </w:r>
      <w:r>
        <w:rPr>
          <w:rFonts w:hint="eastAsia" w:ascii="宋体" w:hAnsi="宋体" w:eastAsia="宋体" w:cs="宋体"/>
          <w:color w:val="auto"/>
          <w:sz w:val="24"/>
          <w:szCs w:val="24"/>
          <w:highlight w:val="none"/>
        </w:rPr>
        <w:t>，杜绝死亡事故。</w:t>
      </w:r>
    </w:p>
    <w:p w14:paraId="6A74781D">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5、合同信息管理目标：正确处理项目有关的合同索赔和合同纠纷，并对项目施工阶段的信息进行收集、整理和保管，保证过程中重要环节的可追溯性。</w:t>
      </w:r>
    </w:p>
    <w:p w14:paraId="544B2B03">
      <w:pPr>
        <w:pageBreakBefore w:val="0"/>
        <w:kinsoku/>
        <w:wordWrap/>
        <w:overflowPunct/>
        <w:topLinePunct w:val="0"/>
        <w:autoSpaceDE/>
        <w:autoSpaceDN/>
        <w:bidi w:val="0"/>
        <w:spacing w:line="360" w:lineRule="auto"/>
        <w:ind w:firstLine="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2.2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监理与相关服务依据</w:t>
      </w:r>
    </w:p>
    <w:p w14:paraId="673A2CBF">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2.1.1 监理依据</w:t>
      </w:r>
    </w:p>
    <w:p w14:paraId="111A02F6">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国家及重庆市现行的有关工程建设和工程建设监理法律、法规；</w:t>
      </w:r>
    </w:p>
    <w:p w14:paraId="34F6D23A">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工程技术标准、施工验收规范、工程建设监理规范；</w:t>
      </w:r>
    </w:p>
    <w:p w14:paraId="572A6F34">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政府批准的该项目建设的有关文件、可行性研究报告、初步设计文件及经审查的施工图设计及其他有关文件；</w:t>
      </w:r>
    </w:p>
    <w:p w14:paraId="4EAEFF39">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设计文件、图纸及说明；</w:t>
      </w:r>
    </w:p>
    <w:p w14:paraId="00C36B1C">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工程监理合同和其他工程建设合同；</w:t>
      </w:r>
    </w:p>
    <w:p w14:paraId="6B191152">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施工设计图及施工图预算；</w:t>
      </w:r>
    </w:p>
    <w:p w14:paraId="396CC4D0">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经委托人认可的监理大纲、监理规划及实施细则等</w:t>
      </w:r>
    </w:p>
    <w:p w14:paraId="061BF031">
      <w:pPr>
        <w:pageBreakBefore w:val="0"/>
        <w:kinsoku/>
        <w:wordWrap/>
        <w:overflowPunct/>
        <w:topLinePunct w:val="0"/>
        <w:autoSpaceDE/>
        <w:autoSpaceDN/>
        <w:bidi w:val="0"/>
        <w:spacing w:line="360" w:lineRule="auto"/>
        <w:ind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2.3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项目监理机构和人员</w:t>
      </w:r>
    </w:p>
    <w:p w14:paraId="6970025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2.3.1补充以下条款：</w:t>
      </w:r>
    </w:p>
    <w:p w14:paraId="3EAAFF41">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本工程的总监理工程师为监理项目负责人。</w:t>
      </w:r>
    </w:p>
    <w:p w14:paraId="1BD5355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监理人取得委托人同意后可按施工</w:t>
      </w:r>
      <w:r>
        <w:rPr>
          <w:rFonts w:hint="eastAsia" w:ascii="宋体" w:hAnsi="宋体" w:eastAsia="宋体" w:cs="宋体"/>
          <w:snapToGrid w:val="0"/>
          <w:color w:val="auto"/>
          <w:kern w:val="0"/>
          <w:sz w:val="24"/>
          <w:szCs w:val="24"/>
          <w:highlight w:val="none"/>
          <w:lang w:val="en-US" w:eastAsia="zh-CN"/>
        </w:rPr>
        <w:t>阶段</w:t>
      </w:r>
      <w:r>
        <w:rPr>
          <w:rFonts w:hint="eastAsia" w:ascii="宋体" w:hAnsi="宋体" w:eastAsia="宋体" w:cs="宋体"/>
          <w:snapToGrid w:val="0"/>
          <w:color w:val="auto"/>
          <w:kern w:val="0"/>
          <w:sz w:val="24"/>
          <w:szCs w:val="24"/>
          <w:highlight w:val="none"/>
        </w:rPr>
        <w:t>、施工面积进行人员专业监理工程师和监理员的合理配置，但人数不得低于相关法规的规定。</w:t>
      </w:r>
    </w:p>
    <w:p w14:paraId="16677CA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2.3.4 监理人应及时更换有下列情形之一的监理人员：</w:t>
      </w:r>
    </w:p>
    <w:p w14:paraId="29BAA073">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严重过失行为的；</w:t>
      </w:r>
    </w:p>
    <w:p w14:paraId="4B2C5E66">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有违法行为不能履行职责的；</w:t>
      </w:r>
    </w:p>
    <w:p w14:paraId="78B2454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涉嫌犯罪的；</w:t>
      </w:r>
    </w:p>
    <w:p w14:paraId="7DA0A4C2">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不能胜任岗位职责的；</w:t>
      </w:r>
    </w:p>
    <w:p w14:paraId="5E7863FC">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严重违反职业道德的；</w:t>
      </w:r>
    </w:p>
    <w:p w14:paraId="10457E6F">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监理人员身体</w:t>
      </w:r>
      <w:r>
        <w:rPr>
          <w:rFonts w:hint="eastAsia" w:ascii="宋体" w:hAnsi="宋体" w:eastAsia="宋体" w:cs="宋体"/>
          <w:snapToGrid w:val="0"/>
          <w:color w:val="auto"/>
          <w:kern w:val="0"/>
          <w:sz w:val="24"/>
          <w:szCs w:val="24"/>
          <w:highlight w:val="none"/>
          <w:lang w:val="en-US" w:eastAsia="zh-CN"/>
        </w:rPr>
        <w:t>及劳动合同解除</w:t>
      </w:r>
      <w:r>
        <w:rPr>
          <w:rFonts w:hint="eastAsia" w:ascii="宋体" w:hAnsi="宋体" w:eastAsia="宋体" w:cs="宋体"/>
          <w:snapToGrid w:val="0"/>
          <w:color w:val="auto"/>
          <w:kern w:val="0"/>
          <w:sz w:val="24"/>
          <w:szCs w:val="24"/>
          <w:highlight w:val="none"/>
        </w:rPr>
        <w:t>等原因。</w:t>
      </w:r>
    </w:p>
    <w:p w14:paraId="19B11EF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本款补充 2.3.6：</w:t>
      </w:r>
    </w:p>
    <w:p w14:paraId="300F1423">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监理人应在监理合同生效后 7 天内，向委托人提交监理机构以及委派的总监理工程师、总监理工程师代表</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如有</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和主要监理人员的名单、简历，提交总监理工程师的全国注册监理工程师资格证书复印件并加盖鲜章。监理人实际派驻现场的总监理工程师和主要监理人员必须和监理人提供的名单一致， 除</w:t>
      </w:r>
      <w:r>
        <w:rPr>
          <w:rFonts w:hint="eastAsia" w:ascii="宋体" w:hAnsi="宋体" w:eastAsia="宋体" w:cs="宋体"/>
          <w:snapToGrid w:val="0"/>
          <w:color w:val="auto"/>
          <w:kern w:val="0"/>
          <w:sz w:val="24"/>
          <w:szCs w:val="24"/>
          <w:highlight w:val="none"/>
          <w:lang w:val="en-US" w:eastAsia="zh-CN"/>
        </w:rPr>
        <w:t>上述2.3.4条情形</w:t>
      </w:r>
      <w:r>
        <w:rPr>
          <w:rFonts w:hint="eastAsia" w:ascii="宋体" w:hAnsi="宋体" w:eastAsia="宋体" w:cs="宋体"/>
          <w:snapToGrid w:val="0"/>
          <w:color w:val="auto"/>
          <w:kern w:val="0"/>
          <w:sz w:val="24"/>
          <w:szCs w:val="24"/>
          <w:highlight w:val="none"/>
        </w:rPr>
        <w:t>外不得更改。</w:t>
      </w:r>
    </w:p>
    <w:p w14:paraId="4D2496D3">
      <w:pPr>
        <w:pageBreakBefore w:val="0"/>
        <w:kinsoku/>
        <w:wordWrap/>
        <w:overflowPunct/>
        <w:topLinePunct w:val="0"/>
        <w:autoSpaceDE/>
        <w:autoSpaceDN/>
        <w:bidi w:val="0"/>
        <w:spacing w:line="360" w:lineRule="auto"/>
        <w:ind w:firstLine="482" w:firstLineChars="200"/>
        <w:rPr>
          <w:rFonts w:hint="eastAsia" w:ascii="宋体" w:hAnsi="宋体" w:eastAsia="宋体" w:cs="宋体"/>
          <w:b/>
          <w:bCs/>
          <w:color w:val="auto"/>
          <w:sz w:val="24"/>
          <w:szCs w:val="24"/>
          <w:highlight w:val="none"/>
          <w:u w:val="single"/>
        </w:rPr>
      </w:pPr>
      <w:r>
        <w:rPr>
          <w:rFonts w:hint="eastAsia" w:ascii="宋体" w:hAnsi="宋体" w:eastAsia="宋体" w:cs="宋体"/>
          <w:b/>
          <w:bCs/>
          <w:color w:val="auto"/>
          <w:sz w:val="24"/>
          <w:szCs w:val="24"/>
          <w:highlight w:val="none"/>
          <w:u w:val="single"/>
        </w:rPr>
        <w:t>监理人实际派驻现场的总监理工程师和主要监理人员与监理人提供且经委托人备案的名单不一致的，委托人有权要求监理人在</w:t>
      </w:r>
      <w:r>
        <w:rPr>
          <w:rFonts w:hint="eastAsia" w:ascii="宋体" w:hAnsi="宋体" w:eastAsia="宋体" w:cs="宋体"/>
          <w:b/>
          <w:bCs/>
          <w:color w:val="auto"/>
          <w:sz w:val="24"/>
          <w:szCs w:val="24"/>
          <w:highlight w:val="none"/>
          <w:u w:val="single"/>
          <w:lang w:val="en-US" w:eastAsia="zh-CN"/>
        </w:rPr>
        <w:t>7</w:t>
      </w:r>
      <w:r>
        <w:rPr>
          <w:rFonts w:hint="eastAsia" w:ascii="宋体" w:hAnsi="宋体" w:eastAsia="宋体" w:cs="宋体"/>
          <w:b/>
          <w:bCs/>
          <w:color w:val="auto"/>
          <w:sz w:val="24"/>
          <w:szCs w:val="24"/>
          <w:highlight w:val="none"/>
          <w:u w:val="single"/>
        </w:rPr>
        <w:t>日内改正；如监理人超过</w:t>
      </w:r>
      <w:r>
        <w:rPr>
          <w:rFonts w:hint="eastAsia" w:ascii="宋体" w:hAnsi="宋体" w:eastAsia="宋体" w:cs="宋体"/>
          <w:b/>
          <w:bCs/>
          <w:color w:val="auto"/>
          <w:sz w:val="24"/>
          <w:szCs w:val="24"/>
          <w:highlight w:val="none"/>
          <w:u w:val="single"/>
          <w:lang w:val="en-US" w:eastAsia="zh-CN"/>
        </w:rPr>
        <w:t>7</w:t>
      </w:r>
      <w:r>
        <w:rPr>
          <w:rFonts w:hint="eastAsia" w:ascii="宋体" w:hAnsi="宋体" w:eastAsia="宋体" w:cs="宋体"/>
          <w:b/>
          <w:bCs/>
          <w:color w:val="auto"/>
          <w:sz w:val="24"/>
          <w:szCs w:val="24"/>
          <w:highlight w:val="none"/>
          <w:u w:val="single"/>
        </w:rPr>
        <w:t>日未改正的，委托人有权解除本合同，没收履约保证金，并要求监理人按照本合同4.1条的约定支付违约金。</w:t>
      </w:r>
    </w:p>
    <w:p w14:paraId="0D2DC432">
      <w:pPr>
        <w:pageBreakBefore w:val="0"/>
        <w:kinsoku/>
        <w:wordWrap/>
        <w:overflowPunct/>
        <w:topLinePunct w:val="0"/>
        <w:autoSpaceDE/>
        <w:autoSpaceDN/>
        <w:bidi w:val="0"/>
        <w:spacing w:line="360" w:lineRule="auto"/>
        <w:ind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2.4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履行职责</w:t>
      </w:r>
    </w:p>
    <w:p w14:paraId="73ED3EF7">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2.4.3 对监理人的授权范围：</w:t>
      </w:r>
    </w:p>
    <w:p w14:paraId="45FAA964">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在工程质量监理上，业主授予监理工程师相关规定要求的全部职责和权力。业主在遵循技术规范的前提下保留质量问题上的一票否决权。</w:t>
      </w:r>
    </w:p>
    <w:p w14:paraId="4E90255C">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在工程进度监理上，业主授予监理工程师相关规定要求的全部职责和权力。业主保留要求施工单位和总监理工程师因工程进度滞后而采取进一步措施的权力。</w:t>
      </w:r>
    </w:p>
    <w:p w14:paraId="699921F9">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工程费用监理上，业主授予监理工程师现场计量核实合同工程量清单规定的任何已完工程的数量和价值，初审施工承包人每期计量支付证书，对不符合合同文件要求的工程项目的施工活动，有权暂拒支付的权力，为业主严把计量支付关。业主保留计量支付的终审权以及价格调整的最终签认权。</w:t>
      </w:r>
    </w:p>
    <w:p w14:paraId="740DB145">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在合同管理上，业主授予监理工程师对工程变更和索赔的方案、数量、单位、金额的初审权，业主保留工程变更和索赔的方案、数量、单价、金额的最终审定权。除上述权力外，业主还授予监理工程师</w:t>
      </w:r>
      <w:r>
        <w:rPr>
          <w:rFonts w:hint="eastAsia" w:ascii="宋体" w:hAnsi="宋体" w:eastAsia="宋体" w:cs="宋体"/>
          <w:snapToGrid w:val="0"/>
          <w:color w:val="auto"/>
          <w:kern w:val="0"/>
          <w:sz w:val="24"/>
          <w:szCs w:val="24"/>
          <w:highlight w:val="none"/>
          <w:lang w:eastAsia="zh-CN"/>
        </w:rPr>
        <w:t>其他的</w:t>
      </w:r>
      <w:r>
        <w:rPr>
          <w:rFonts w:hint="eastAsia" w:ascii="宋体" w:hAnsi="宋体" w:eastAsia="宋体" w:cs="宋体"/>
          <w:snapToGrid w:val="0"/>
          <w:color w:val="auto"/>
          <w:kern w:val="0"/>
          <w:sz w:val="24"/>
          <w:szCs w:val="24"/>
          <w:highlight w:val="none"/>
        </w:rPr>
        <w:t>合同管理职权。</w:t>
      </w:r>
    </w:p>
    <w:p w14:paraId="043F3FAD">
      <w:pPr>
        <w:pageBreakBefore w:val="0"/>
        <w:numPr>
          <w:ilvl w:val="0"/>
          <w:numId w:val="51"/>
        </w:numPr>
        <w:kinsoku/>
        <w:wordWrap/>
        <w:overflowPunct/>
        <w:topLinePunct w:val="0"/>
        <w:autoSpaceDE/>
        <w:autoSpaceDN/>
        <w:bidi w:val="0"/>
        <w:spacing w:line="360" w:lineRule="auto"/>
        <w:ind w:left="420" w:leftChars="0" w:hanging="42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监理人应在上述授权范围内处理本项目的有关事宜。监理人未经委托人书面同意超过授权范围的行为给委托人造成的一切损失由监理人承担。</w:t>
      </w:r>
    </w:p>
    <w:p w14:paraId="6DAE059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2.4.4 监理人有权要求承包人调换其人员的条件：</w:t>
      </w:r>
      <w:r>
        <w:rPr>
          <w:rFonts w:hint="eastAsia" w:ascii="宋体" w:hAnsi="宋体" w:eastAsia="宋体" w:cs="宋体"/>
          <w:snapToGrid w:val="0"/>
          <w:color w:val="auto"/>
          <w:kern w:val="0"/>
          <w:sz w:val="24"/>
          <w:szCs w:val="24"/>
          <w:highlight w:val="none"/>
          <w:u w:val="single"/>
        </w:rPr>
        <w:t xml:space="preserve"> 在监理过程中如发现工程承包人的人员工作不力，监理机构在报请委托人同意后可要求承包人调换有关人员</w:t>
      </w:r>
      <w:r>
        <w:rPr>
          <w:rFonts w:hint="eastAsia" w:ascii="宋体" w:hAnsi="宋体" w:eastAsia="宋体" w:cs="宋体"/>
          <w:snapToGrid w:val="0"/>
          <w:color w:val="auto"/>
          <w:kern w:val="0"/>
          <w:sz w:val="24"/>
          <w:szCs w:val="24"/>
          <w:highlight w:val="none"/>
        </w:rPr>
        <w:t>。</w:t>
      </w:r>
    </w:p>
    <w:p w14:paraId="37FB2AE0">
      <w:pPr>
        <w:pageBreakBefore w:val="0"/>
        <w:kinsoku/>
        <w:wordWrap/>
        <w:overflowPunct/>
        <w:topLinePunct w:val="0"/>
        <w:autoSpaceDE/>
        <w:autoSpaceDN/>
        <w:bidi w:val="0"/>
        <w:spacing w:line="360" w:lineRule="auto"/>
        <w:ind w:firstLine="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2.5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提交报告</w:t>
      </w:r>
    </w:p>
    <w:p w14:paraId="5F48CAFC">
      <w:pPr>
        <w:pageBreakBefore w:val="0"/>
        <w:kinsoku/>
        <w:wordWrap/>
        <w:overflowPunct/>
        <w:topLinePunct w:val="0"/>
        <w:autoSpaceDE/>
        <w:autoSpaceDN/>
        <w:bidi w:val="0"/>
        <w:spacing w:line="360" w:lineRule="auto"/>
        <w:ind w:left="1" w:right="5" w:firstLine="435"/>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监理人应提交报告的种类(包括监理规划、监理细则、监理月报及约定的专项报告)、时间和份数:</w:t>
      </w:r>
    </w:p>
    <w:p w14:paraId="07806AB9">
      <w:pPr>
        <w:pageBreakBefore w:val="0"/>
        <w:kinsoku/>
        <w:wordWrap/>
        <w:overflowPunct/>
        <w:topLinePunct w:val="0"/>
        <w:autoSpaceDE/>
        <w:autoSpaceDN/>
        <w:bidi w:val="0"/>
        <w:spacing w:line="360" w:lineRule="auto"/>
        <w:ind w:left="1" w:right="5" w:firstLine="435"/>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监理规划：在签订监理合同后 10 天内提交一式两份；</w:t>
      </w:r>
    </w:p>
    <w:p w14:paraId="317797B7">
      <w:pPr>
        <w:pageBreakBefore w:val="0"/>
        <w:kinsoku/>
        <w:wordWrap/>
        <w:overflowPunct/>
        <w:topLinePunct w:val="0"/>
        <w:autoSpaceDE/>
        <w:autoSpaceDN/>
        <w:bidi w:val="0"/>
        <w:spacing w:line="360" w:lineRule="auto"/>
        <w:ind w:left="1" w:right="5" w:firstLine="435"/>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监理细则：在签订监理合同后 10 天内提交一式两份；</w:t>
      </w:r>
    </w:p>
    <w:p w14:paraId="1441BE8F">
      <w:pPr>
        <w:pageBreakBefore w:val="0"/>
        <w:kinsoku/>
        <w:wordWrap/>
        <w:overflowPunct/>
        <w:topLinePunct w:val="0"/>
        <w:autoSpaceDE/>
        <w:autoSpaceDN/>
        <w:bidi w:val="0"/>
        <w:spacing w:line="360" w:lineRule="auto"/>
        <w:ind w:left="1" w:right="5" w:firstLine="435"/>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监理月报：在每月 25日前提交一式两份；</w:t>
      </w:r>
    </w:p>
    <w:p w14:paraId="1B278B50">
      <w:pPr>
        <w:pageBreakBefore w:val="0"/>
        <w:kinsoku/>
        <w:wordWrap/>
        <w:overflowPunct/>
        <w:topLinePunct w:val="0"/>
        <w:autoSpaceDE/>
        <w:autoSpaceDN/>
        <w:bidi w:val="0"/>
        <w:spacing w:line="360" w:lineRule="auto"/>
        <w:ind w:left="1" w:right="5" w:firstLine="435"/>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监理周报：每周，向委托人提交一式两份；</w:t>
      </w:r>
    </w:p>
    <w:p w14:paraId="08086FBF">
      <w:pPr>
        <w:pageBreakBefore w:val="0"/>
        <w:kinsoku/>
        <w:wordWrap/>
        <w:overflowPunct/>
        <w:topLinePunct w:val="0"/>
        <w:autoSpaceDE/>
        <w:autoSpaceDN/>
        <w:bidi w:val="0"/>
        <w:spacing w:line="360" w:lineRule="auto"/>
        <w:ind w:left="1" w:right="5" w:firstLine="435"/>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其他专项报告一式两份，按委托人要求提交。</w:t>
      </w:r>
    </w:p>
    <w:p w14:paraId="42EDCBF7">
      <w:pPr>
        <w:pageBreakBefore w:val="0"/>
        <w:kinsoku/>
        <w:wordWrap/>
        <w:overflowPunct/>
        <w:topLinePunct w:val="0"/>
        <w:autoSpaceDE/>
        <w:autoSpaceDN/>
        <w:bidi w:val="0"/>
        <w:spacing w:line="360" w:lineRule="auto"/>
        <w:ind w:left="1" w:right="5" w:firstLine="435"/>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最终提交种类、时间及份数以委托人现场代表的要求为准，监理人应无条件执行。</w:t>
      </w:r>
    </w:p>
    <w:p w14:paraId="19CC6565">
      <w:pPr>
        <w:pageBreakBefore w:val="0"/>
        <w:kinsoku/>
        <w:wordWrap/>
        <w:overflowPunct/>
        <w:topLinePunct w:val="0"/>
        <w:autoSpaceDE/>
        <w:autoSpaceDN/>
        <w:bidi w:val="0"/>
        <w:spacing w:line="360" w:lineRule="auto"/>
        <w:ind w:firstLine="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2.</w:t>
      </w:r>
      <w:r>
        <w:rPr>
          <w:rFonts w:hint="eastAsia" w:ascii="宋体" w:hAnsi="宋体" w:eastAsia="宋体" w:cs="宋体"/>
          <w:color w:val="auto"/>
          <w:sz w:val="24"/>
          <w:szCs w:val="24"/>
          <w:highlight w:val="none"/>
          <w:lang w:val="en-US" w:eastAsia="zh-CN"/>
          <w14:textOutline w14:w="4064" w14:cap="flat" w14:cmpd="sng" w14:algn="ctr">
            <w14:solidFill>
              <w14:srgbClr w14:val="000000"/>
            </w14:solidFill>
            <w14:prstDash w14:val="solid"/>
            <w14:miter w14:val="0"/>
          </w14:textOutline>
        </w:rPr>
        <w:t>6</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使用委托人的财产</w:t>
      </w:r>
    </w:p>
    <w:p w14:paraId="1EF70F5E">
      <w:pPr>
        <w:pageBreakBefore w:val="0"/>
        <w:kinsoku/>
        <w:wordWrap/>
        <w:overflowPunct/>
        <w:topLinePunct w:val="0"/>
        <w:autoSpaceDE/>
        <w:autoSpaceDN/>
        <w:bidi w:val="0"/>
        <w:spacing w:line="360" w:lineRule="auto"/>
        <w:ind w:left="1" w:right="5" w:firstLine="435"/>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由委托人无偿提供的房屋、设备的所有权属于：委托人 。</w:t>
      </w:r>
    </w:p>
    <w:p w14:paraId="4487927E">
      <w:pPr>
        <w:pageBreakBefore w:val="0"/>
        <w:kinsoku/>
        <w:wordWrap/>
        <w:overflowPunct/>
        <w:topLinePunct w:val="0"/>
        <w:autoSpaceDE/>
        <w:autoSpaceDN/>
        <w:bidi w:val="0"/>
        <w:spacing w:line="360" w:lineRule="auto"/>
        <w:ind w:left="1" w:right="5" w:firstLine="435"/>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监理人应在本合同终止后 28 天内移交委托人无偿提供的房屋、设备， 移交的时间和方式为：  双方代表现场确认后书面移交 。因监理人过错导致委托人提供的房屋、设备损坏的，委托人有权要求监理人赔偿由此产生的一切损失。</w:t>
      </w:r>
    </w:p>
    <w:p w14:paraId="6D803998">
      <w:pPr>
        <w:pageBreakBefore w:val="0"/>
        <w:kinsoku/>
        <w:wordWrap/>
        <w:overflowPunct/>
        <w:topLinePunct w:val="0"/>
        <w:autoSpaceDE/>
        <w:autoSpaceDN/>
        <w:bidi w:val="0"/>
        <w:spacing w:line="360" w:lineRule="auto"/>
        <w:ind w:firstLine="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2.</w:t>
      </w:r>
      <w:r>
        <w:rPr>
          <w:rFonts w:hint="eastAsia" w:ascii="宋体" w:hAnsi="宋体" w:eastAsia="宋体" w:cs="宋体"/>
          <w:color w:val="auto"/>
          <w:sz w:val="24"/>
          <w:szCs w:val="24"/>
          <w:highlight w:val="none"/>
          <w:lang w:val="en-US" w:eastAsia="zh-CN"/>
          <w14:textOutline w14:w="4064" w14:cap="flat" w14:cmpd="sng" w14:algn="ctr">
            <w14:solidFill>
              <w14:srgbClr w14:val="000000"/>
            </w14:solidFill>
            <w14:prstDash w14:val="solid"/>
            <w14:miter w14:val="0"/>
          </w14:textOutline>
        </w:rPr>
        <w:t>7</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监理人应向委托人提供的信息文件材料：</w:t>
      </w:r>
    </w:p>
    <w:p w14:paraId="77BD19E6">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.1 定期信息文件材料：</w:t>
      </w:r>
    </w:p>
    <w:p w14:paraId="36968BC2">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根据监理工程项目、范围及内容， 随工程施工进展， 每月 2</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日前向委托人报送监理月报（一式四份），主要内容包括：</w:t>
      </w:r>
    </w:p>
    <w:p w14:paraId="337A434F">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工程施工综述；</w:t>
      </w:r>
    </w:p>
    <w:p w14:paraId="7FFC0C52">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工程形象进度完成情况及分析;</w:t>
      </w:r>
    </w:p>
    <w:p w14:paraId="4DE49DAD">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施工质量和安全情况及其分析（包括当月材料设备进场品名、规格、数量、使用部位及检验情况，分部分项工程验收情况、安全检查及整改验收情况</w:t>
      </w:r>
    </w:p>
    <w:p w14:paraId="142F27F8">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工程计量计价、完成投资和工程款支付情况；</w:t>
      </w:r>
    </w:p>
    <w:p w14:paraId="4442AC12">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进场施工机具设备及劳动力状况分析；</w:t>
      </w:r>
    </w:p>
    <w:p w14:paraId="66C3312A">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设备供货和图纸交付情况；</w:t>
      </w:r>
    </w:p>
    <w:p w14:paraId="5F027888">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合同变更和工程变更情况；</w:t>
      </w:r>
    </w:p>
    <w:p w14:paraId="54742243">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监理服务情况及改进措施；</w:t>
      </w:r>
    </w:p>
    <w:p w14:paraId="386A00AD">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工程建设大事记；</w:t>
      </w:r>
    </w:p>
    <w:p w14:paraId="063730FD">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其他（附气象记录）。</w:t>
      </w:r>
    </w:p>
    <w:p w14:paraId="3ED1965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.2 根据监理服务进展情况的不定期报告：</w:t>
      </w:r>
    </w:p>
    <w:p w14:paraId="763364B7">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关于工程优化设计、变更和施工进展的建议；</w:t>
      </w:r>
    </w:p>
    <w:p w14:paraId="0D36E37A">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资金、资源投入及合理配置的建议；</w:t>
      </w:r>
    </w:p>
    <w:p w14:paraId="7C0BFE61">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委托人合理要求提交的其他报告；</w:t>
      </w:r>
    </w:p>
    <w:p w14:paraId="6468F21A">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工程阶段验收、竣工验收监理服务报告。</w:t>
      </w:r>
    </w:p>
    <w:p w14:paraId="3D9F8E0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.3 监理服务过程文件材料：</w:t>
      </w:r>
    </w:p>
    <w:p w14:paraId="61F99917">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施工措施计划批复文件材料；</w:t>
      </w:r>
    </w:p>
    <w:p w14:paraId="370E32B5">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施工进度调整批复文件材料；</w:t>
      </w:r>
    </w:p>
    <w:p w14:paraId="0F9041A6">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监理服务协调会议纪要文件材料；</w:t>
      </w:r>
    </w:p>
    <w:p w14:paraId="121BEDC1">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其他监理服务往来文件材料；</w:t>
      </w:r>
    </w:p>
    <w:p w14:paraId="4680BB90">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质量事故处理文件材料。</w:t>
      </w:r>
    </w:p>
    <w:p w14:paraId="2D78210E">
      <w:pPr>
        <w:pageBreakBefore w:val="0"/>
        <w:kinsoku/>
        <w:wordWrap/>
        <w:overflowPunct/>
        <w:topLinePunct w:val="0"/>
        <w:autoSpaceDE/>
        <w:autoSpaceDN/>
        <w:bidi w:val="0"/>
        <w:spacing w:line="360" w:lineRule="auto"/>
        <w:ind w:firstLine="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委托人义务</w:t>
      </w:r>
    </w:p>
    <w:p w14:paraId="25A5CF4B">
      <w:pPr>
        <w:pageBreakBefore w:val="0"/>
        <w:kinsoku/>
        <w:wordWrap/>
        <w:overflowPunct/>
        <w:topLinePunct w:val="0"/>
        <w:autoSpaceDE/>
        <w:autoSpaceDN/>
        <w:bidi w:val="0"/>
        <w:spacing w:line="360" w:lineRule="auto"/>
        <w:ind w:firstLine="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3810" w14:cap="flat" w14:cmpd="sng" w14:algn="ctr">
            <w14:solidFill>
              <w14:srgbClr w14:val="000000"/>
            </w14:solidFill>
            <w14:prstDash w14:val="solid"/>
            <w14:miter w14:val="0"/>
          </w14:textOutline>
        </w:rPr>
        <w:t>3.</w:t>
      </w:r>
      <w:r>
        <w:rPr>
          <w:rFonts w:hint="eastAsia" w:ascii="宋体" w:hAnsi="宋体" w:eastAsia="宋体" w:cs="宋体"/>
          <w:color w:val="auto"/>
          <w:sz w:val="24"/>
          <w:szCs w:val="24"/>
          <w:highlight w:val="none"/>
          <w:lang w:val="en-US" w:eastAsia="zh-CN"/>
          <w14:textOutline w14:w="3810" w14:cap="flat" w14:cmpd="sng" w14:algn="ctr">
            <w14:solidFill>
              <w14:srgbClr w14:val="000000"/>
            </w14:solidFill>
            <w14:prstDash w14:val="solid"/>
            <w14:miter w14:val="0"/>
          </w14:textOutline>
        </w:rPr>
        <w:t>1</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3810" w14:cap="flat" w14:cmpd="sng" w14:algn="ctr">
            <w14:solidFill>
              <w14:srgbClr w14:val="000000"/>
            </w14:solidFill>
            <w14:prstDash w14:val="solid"/>
            <w14:miter w14:val="0"/>
          </w14:textOutline>
        </w:rPr>
        <w:t>提供资料</w:t>
      </w:r>
    </w:p>
    <w:p w14:paraId="50B0B511">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委托人应提供的工程资料及提供时间：</w:t>
      </w:r>
    </w:p>
    <w:p w14:paraId="0699FBAA">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完整的</w:t>
      </w:r>
      <w:r>
        <w:rPr>
          <w:rFonts w:hint="eastAsia" w:ascii="宋体" w:hAnsi="宋体" w:eastAsia="宋体" w:cs="宋体"/>
          <w:snapToGrid w:val="0"/>
          <w:color w:val="auto"/>
          <w:kern w:val="0"/>
          <w:sz w:val="24"/>
          <w:szCs w:val="24"/>
          <w:highlight w:val="none"/>
          <w:lang w:val="en-US" w:eastAsia="zh-CN"/>
        </w:rPr>
        <w:t>地勘报告、</w:t>
      </w:r>
      <w:r>
        <w:rPr>
          <w:rFonts w:hint="eastAsia" w:ascii="宋体" w:hAnsi="宋体" w:eastAsia="宋体" w:cs="宋体"/>
          <w:snapToGrid w:val="0"/>
          <w:color w:val="auto"/>
          <w:kern w:val="0"/>
          <w:sz w:val="24"/>
          <w:szCs w:val="24"/>
          <w:highlight w:val="none"/>
        </w:rPr>
        <w:t>施工图</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工程承包合同及其他相关合同</w:t>
      </w:r>
      <w:r>
        <w:rPr>
          <w:rFonts w:hint="eastAsia" w:ascii="宋体" w:hAnsi="宋体" w:eastAsia="宋体" w:cs="宋体"/>
          <w:snapToGrid w:val="0"/>
          <w:color w:val="auto"/>
          <w:kern w:val="0"/>
          <w:sz w:val="24"/>
          <w:szCs w:val="24"/>
          <w:highlight w:val="none"/>
        </w:rPr>
        <w:t>一套</w:t>
      </w:r>
      <w:r>
        <w:rPr>
          <w:rFonts w:hint="eastAsia" w:ascii="宋体" w:hAnsi="宋体" w:eastAsia="宋体" w:cs="宋体"/>
          <w:snapToGrid w:val="0"/>
          <w:color w:val="auto"/>
          <w:kern w:val="0"/>
          <w:sz w:val="24"/>
          <w:szCs w:val="24"/>
          <w:highlight w:val="none"/>
          <w:lang w:val="en-US" w:eastAsia="zh-CN"/>
        </w:rPr>
        <w:t>等建设资料</w:t>
      </w:r>
      <w:r>
        <w:rPr>
          <w:rFonts w:hint="eastAsia" w:ascii="宋体" w:hAnsi="宋体" w:eastAsia="宋体" w:cs="宋体"/>
          <w:snapToGrid w:val="0"/>
          <w:color w:val="auto"/>
          <w:kern w:val="0"/>
          <w:sz w:val="24"/>
          <w:szCs w:val="24"/>
          <w:highlight w:val="none"/>
        </w:rPr>
        <w:t>；</w:t>
      </w:r>
    </w:p>
    <w:p w14:paraId="7B2F24CD">
      <w:pPr>
        <w:keepNext w:val="0"/>
        <w:keepLines w:val="0"/>
        <w:pageBreakBefore w:val="0"/>
        <w:widowControl w:val="0"/>
        <w:numPr>
          <w:ilvl w:val="0"/>
          <w:numId w:val="51"/>
        </w:numPr>
        <w:kinsoku/>
        <w:wordWrap/>
        <w:overflowPunct/>
        <w:topLinePunct w:val="0"/>
        <w:autoSpaceDE/>
        <w:autoSpaceDN/>
        <w:bidi w:val="0"/>
        <w:adjustRightInd/>
        <w:snapToGrid/>
        <w:spacing w:line="360" w:lineRule="auto"/>
        <w:ind w:left="840" w:leftChars="200" w:hanging="420" w:firstLineChars="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提供时间：满足建设监理工作顺利推进及施工进度要求。</w:t>
      </w:r>
    </w:p>
    <w:p w14:paraId="1A459961">
      <w:pPr>
        <w:pageBreakBefore w:val="0"/>
        <w:kinsoku/>
        <w:wordWrap/>
        <w:overflowPunct/>
        <w:topLinePunct w:val="0"/>
        <w:autoSpaceDE/>
        <w:autoSpaceDN/>
        <w:bidi w:val="0"/>
        <w:spacing w:line="360" w:lineRule="auto"/>
        <w:ind w:firstLine="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3810" w14:cap="flat" w14:cmpd="sng" w14:algn="ctr">
            <w14:solidFill>
              <w14:srgbClr w14:val="000000"/>
            </w14:solidFill>
            <w14:prstDash w14:val="solid"/>
            <w14:miter w14:val="0"/>
          </w14:textOutline>
        </w:rPr>
        <w:t>3.</w:t>
      </w:r>
      <w:r>
        <w:rPr>
          <w:rFonts w:hint="eastAsia" w:ascii="宋体" w:hAnsi="宋体" w:eastAsia="宋体" w:cs="宋体"/>
          <w:color w:val="auto"/>
          <w:sz w:val="24"/>
          <w:szCs w:val="24"/>
          <w:highlight w:val="none"/>
          <w:lang w:val="en-US" w:eastAsia="zh-CN"/>
          <w14:textOutline w14:w="3810" w14:cap="flat" w14:cmpd="sng" w14:algn="ctr">
            <w14:solidFill>
              <w14:srgbClr w14:val="000000"/>
            </w14:solidFill>
            <w14:prstDash w14:val="solid"/>
            <w14:miter w14:val="0"/>
          </w14:textOutline>
        </w:rPr>
        <w:t>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3810" w14:cap="flat" w14:cmpd="sng" w14:algn="ctr">
            <w14:solidFill>
              <w14:srgbClr w14:val="000000"/>
            </w14:solidFill>
            <w14:prstDash w14:val="solid"/>
            <w14:miter w14:val="0"/>
          </w14:textOutline>
        </w:rPr>
        <w:t>提供工作条件</w:t>
      </w:r>
    </w:p>
    <w:p w14:paraId="3708E04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委托人负责办理工程相关的手续及相应的外部协调工作，监理人予以协助。</w:t>
      </w:r>
    </w:p>
    <w:p w14:paraId="75908135">
      <w:pPr>
        <w:pageBreakBefore w:val="0"/>
        <w:kinsoku/>
        <w:wordWrap/>
        <w:overflowPunct/>
        <w:topLinePunct w:val="0"/>
        <w:autoSpaceDE/>
        <w:autoSpaceDN/>
        <w:bidi w:val="0"/>
        <w:spacing w:line="360" w:lineRule="auto"/>
        <w:ind w:firstLine="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3810" w14:cap="flat" w14:cmpd="sng" w14:algn="ctr">
            <w14:solidFill>
              <w14:srgbClr w14:val="000000"/>
            </w14:solidFill>
            <w14:prstDash w14:val="solid"/>
            <w14:miter w14:val="0"/>
          </w14:textOutline>
        </w:rPr>
        <w:t>3.</w:t>
      </w:r>
      <w:r>
        <w:rPr>
          <w:rFonts w:hint="eastAsia" w:ascii="宋体" w:hAnsi="宋体" w:eastAsia="宋体" w:cs="宋体"/>
          <w:color w:val="auto"/>
          <w:sz w:val="24"/>
          <w:szCs w:val="24"/>
          <w:highlight w:val="none"/>
          <w:lang w:val="en-US" w:eastAsia="zh-CN"/>
          <w14:textOutline w14:w="3810" w14:cap="flat" w14:cmpd="sng" w14:algn="ctr">
            <w14:solidFill>
              <w14:srgbClr w14:val="000000"/>
            </w14:solidFill>
            <w14:prstDash w14:val="solid"/>
            <w14:miter w14:val="0"/>
          </w14:textOutli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3810" w14:cap="flat" w14:cmpd="sng" w14:algn="ctr">
            <w14:solidFill>
              <w14:srgbClr w14:val="000000"/>
            </w14:solidFill>
            <w14:prstDash w14:val="solid"/>
            <w14:miter w14:val="0"/>
          </w14:textOutline>
        </w:rPr>
        <w:t>委托人代表</w:t>
      </w:r>
    </w:p>
    <w:p w14:paraId="43BEFD51">
      <w:pPr>
        <w:pageBreakBefore w:val="0"/>
        <w:kinsoku/>
        <w:wordWrap/>
        <w:overflowPunct/>
        <w:topLinePunct w:val="0"/>
        <w:autoSpaceDE/>
        <w:autoSpaceDN/>
        <w:bidi w:val="0"/>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委托人的常驻代表为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2FDBCFF9">
      <w:pPr>
        <w:pageBreakBefore w:val="0"/>
        <w:kinsoku/>
        <w:wordWrap/>
        <w:overflowPunct/>
        <w:topLinePunct w:val="0"/>
        <w:autoSpaceDE/>
        <w:autoSpaceDN/>
        <w:bidi w:val="0"/>
        <w:spacing w:line="360" w:lineRule="auto"/>
        <w:ind w:firstLine="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3810" w14:cap="flat" w14:cmpd="sng" w14:algn="ctr">
            <w14:solidFill>
              <w14:srgbClr w14:val="000000"/>
            </w14:solidFill>
            <w14:prstDash w14:val="solid"/>
            <w14:miter w14:val="0"/>
          </w14:textOutline>
        </w:rPr>
        <w:t>3.</w:t>
      </w:r>
      <w:r>
        <w:rPr>
          <w:rFonts w:hint="eastAsia" w:ascii="宋体" w:hAnsi="宋体" w:eastAsia="宋体" w:cs="宋体"/>
          <w:color w:val="auto"/>
          <w:sz w:val="24"/>
          <w:szCs w:val="24"/>
          <w:highlight w:val="none"/>
          <w:lang w:val="en-US" w:eastAsia="zh-CN"/>
          <w14:textOutline w14:w="3810" w14:cap="flat" w14:cmpd="sng" w14:algn="ctr">
            <w14:solidFill>
              <w14:srgbClr w14:val="000000"/>
            </w14:solidFill>
            <w14:prstDash w14:val="solid"/>
            <w14:miter w14:val="0"/>
          </w14:textOutline>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3810" w14:cap="flat" w14:cmpd="sng" w14:algn="ctr">
            <w14:solidFill>
              <w14:srgbClr w14:val="000000"/>
            </w14:solidFill>
            <w14:prstDash w14:val="solid"/>
            <w14:miter w14:val="0"/>
          </w14:textOutline>
        </w:rPr>
        <w:t>答复</w:t>
      </w:r>
    </w:p>
    <w:p w14:paraId="39B3720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在项目实施过程中，根据监理人的书面要求，委托人原则应在规定时间内对监理人书面提交的事宜作出书面答复（确认类 5 天；批准类 7 天；决策类 14 天）。如有特殊情况，委托人应及时通知监理人作出答复的具体时间。</w:t>
      </w:r>
    </w:p>
    <w:p w14:paraId="31342643">
      <w:pPr>
        <w:pageBreakBefore w:val="0"/>
        <w:kinsoku/>
        <w:wordWrap/>
        <w:overflowPunct/>
        <w:topLinePunct w:val="0"/>
        <w:autoSpaceDE/>
        <w:autoSpaceDN/>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违约责任</w:t>
      </w:r>
    </w:p>
    <w:p w14:paraId="5061B398">
      <w:pPr>
        <w:pageBreakBefore w:val="0"/>
        <w:kinsoku/>
        <w:wordWrap/>
        <w:overflowPunct/>
        <w:topLinePunct w:val="0"/>
        <w:autoSpaceDE/>
        <w:autoSpaceDN/>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4.1</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监理人的违约责任</w:t>
      </w:r>
    </w:p>
    <w:p w14:paraId="52F310B6">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rPr>
        <w:t>因监理人违反本合同约定或未履行本合同约定义务给委托人造成损失的， 监理人应当赔偿委托人的</w:t>
      </w:r>
      <w:r>
        <w:rPr>
          <w:rFonts w:hint="eastAsia" w:ascii="宋体" w:hAnsi="宋体" w:eastAsia="宋体" w:cs="宋体"/>
          <w:snapToGrid w:val="0"/>
          <w:color w:val="auto"/>
          <w:kern w:val="0"/>
          <w:sz w:val="24"/>
          <w:szCs w:val="24"/>
          <w:highlight w:val="none"/>
          <w:lang w:val="en-US" w:eastAsia="zh-CN"/>
        </w:rPr>
        <w:t>直接损失的5%。</w:t>
      </w:r>
    </w:p>
    <w:p w14:paraId="1F2AB403">
      <w:pPr>
        <w:pageBreakBefore w:val="0"/>
        <w:kinsoku/>
        <w:wordWrap/>
        <w:overflowPunct/>
        <w:topLinePunct w:val="0"/>
        <w:autoSpaceDE/>
        <w:autoSpaceDN/>
        <w:bidi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因监理人违约需向委托人支付赔偿损失等的，委托人有权直接从本监理合同费用款项中扣除。</w:t>
      </w:r>
    </w:p>
    <w:p w14:paraId="363A64DE">
      <w:pPr>
        <w:pageBreakBefore w:val="0"/>
        <w:kinsoku/>
        <w:wordWrap/>
        <w:overflowPunct/>
        <w:topLinePunct w:val="0"/>
        <w:autoSpaceDE/>
        <w:autoSpaceDN/>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3810" w14:cap="flat" w14:cmpd="sng" w14:algn="ctr">
            <w14:solidFill>
              <w14:srgbClr w14:val="000000"/>
            </w14:solidFill>
            <w14:prstDash w14:val="solid"/>
            <w14:miter w14:val="0"/>
          </w14:textOutline>
        </w:rPr>
        <w:t>4.2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3810" w14:cap="flat" w14:cmpd="sng" w14:algn="ctr">
            <w14:solidFill>
              <w14:srgbClr w14:val="000000"/>
            </w14:solidFill>
            <w14:prstDash w14:val="solid"/>
            <w14:miter w14:val="0"/>
          </w14:textOutline>
        </w:rPr>
        <w:t>委托人的违约责任</w:t>
      </w:r>
    </w:p>
    <w:p w14:paraId="37C38FDC">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委托人未按期支付合同费用，委托人和监理人再行友好协商合理的支付期限，合理的支付期限 后每逾期一日应向监理人支付万分之二的违约金</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违约金上限不超过</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因监理人提交的支付材料不符合要求而导致延期支付的，委托人不承担违约责任；监理人不得以委托人未按期支付监理费用为由拒绝履行后续合同义务，否则由此产生的工期延误、质量缺陷等损失由监理人承担。</w:t>
      </w:r>
    </w:p>
    <w:p w14:paraId="3BD41A82">
      <w:pPr>
        <w:pageBreakBefore w:val="0"/>
        <w:kinsoku/>
        <w:wordWrap/>
        <w:overflowPunct/>
        <w:topLinePunct w:val="0"/>
        <w:autoSpaceDE/>
        <w:autoSpaceDN/>
        <w:bidi w:val="0"/>
        <w:spacing w:line="360" w:lineRule="auto"/>
        <w:ind w:firstLine="5"/>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4.3 除外责任</w:t>
      </w:r>
    </w:p>
    <w:p w14:paraId="4FFE60D9">
      <w:pPr>
        <w:pageBreakBefore w:val="0"/>
        <w:kinsoku/>
        <w:wordWrap/>
        <w:overflowPunct/>
        <w:topLinePunct w:val="0"/>
        <w:autoSpaceDE/>
        <w:autoSpaceDN/>
        <w:bidi w:val="0"/>
        <w:spacing w:line="360" w:lineRule="auto"/>
        <w:ind w:firstLine="484" w:firstLineChars="20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因监理人的过错，造成工程项目发生</w:t>
      </w:r>
      <w:r>
        <w:rPr>
          <w:rFonts w:hint="eastAsia" w:ascii="宋体" w:hAnsi="宋体" w:eastAsia="宋体" w:cs="宋体"/>
          <w:snapToGrid w:val="0"/>
          <w:color w:val="auto"/>
          <w:kern w:val="0"/>
          <w:sz w:val="24"/>
          <w:szCs w:val="24"/>
          <w:highlight w:val="none"/>
          <w:lang w:val="en-US" w:eastAsia="zh-CN"/>
        </w:rPr>
        <w:t>重大</w:t>
      </w:r>
      <w:r>
        <w:rPr>
          <w:rFonts w:hint="eastAsia" w:ascii="宋体" w:hAnsi="宋体" w:eastAsia="宋体" w:cs="宋体"/>
          <w:snapToGrid w:val="0"/>
          <w:color w:val="auto"/>
          <w:kern w:val="0"/>
          <w:sz w:val="24"/>
          <w:szCs w:val="24"/>
          <w:highlight w:val="none"/>
        </w:rPr>
        <w:t>质量事故、安全事故、工期延误等损失的，监理人应承担赔偿责任。若造成</w:t>
      </w:r>
      <w:r>
        <w:rPr>
          <w:rFonts w:hint="eastAsia" w:ascii="宋体" w:hAnsi="宋体" w:eastAsia="宋体" w:cs="宋体"/>
          <w:snapToGrid w:val="0"/>
          <w:color w:val="auto"/>
          <w:kern w:val="0"/>
          <w:sz w:val="24"/>
          <w:szCs w:val="24"/>
          <w:highlight w:val="none"/>
          <w:lang w:val="en-US" w:eastAsia="zh-CN"/>
        </w:rPr>
        <w:t>重大</w:t>
      </w:r>
      <w:r>
        <w:rPr>
          <w:rFonts w:hint="eastAsia" w:ascii="宋体" w:hAnsi="宋体" w:eastAsia="宋体" w:cs="宋体"/>
          <w:snapToGrid w:val="0"/>
          <w:color w:val="auto"/>
          <w:kern w:val="0"/>
          <w:sz w:val="24"/>
          <w:szCs w:val="24"/>
          <w:highlight w:val="none"/>
        </w:rPr>
        <w:t>安全或质量事故的，监理人应当</w:t>
      </w:r>
      <w:r>
        <w:rPr>
          <w:rFonts w:hint="eastAsia" w:ascii="宋体" w:hAnsi="宋体" w:eastAsia="宋体" w:cs="宋体"/>
          <w:snapToGrid w:val="0"/>
          <w:color w:val="auto"/>
          <w:kern w:val="0"/>
          <w:sz w:val="24"/>
          <w:szCs w:val="24"/>
          <w:highlight w:val="none"/>
          <w:lang w:eastAsia="zh-CN"/>
        </w:rPr>
        <w:t>赔偿</w:t>
      </w:r>
      <w:r>
        <w:rPr>
          <w:rFonts w:hint="eastAsia" w:ascii="宋体" w:hAnsi="宋体" w:eastAsia="宋体" w:cs="宋体"/>
          <w:snapToGrid w:val="0"/>
          <w:color w:val="auto"/>
          <w:kern w:val="0"/>
          <w:sz w:val="24"/>
          <w:szCs w:val="24"/>
          <w:highlight w:val="none"/>
        </w:rPr>
        <w:t>委托人造成的全部损失</w:t>
      </w:r>
      <w:r>
        <w:rPr>
          <w:rFonts w:hint="eastAsia" w:ascii="宋体" w:hAnsi="宋体" w:eastAsia="宋体" w:cs="宋体"/>
          <w:snapToGrid w:val="0"/>
          <w:color w:val="auto"/>
          <w:kern w:val="0"/>
          <w:sz w:val="24"/>
          <w:szCs w:val="24"/>
          <w:highlight w:val="none"/>
          <w:lang w:val="en-US" w:eastAsia="zh-CN"/>
        </w:rPr>
        <w:t>的5%。</w:t>
      </w:r>
    </w:p>
    <w:p w14:paraId="2E02800F">
      <w:pPr>
        <w:pageBreakBefore w:val="0"/>
        <w:kinsoku/>
        <w:wordWrap/>
        <w:overflowPunct/>
        <w:topLinePunct w:val="0"/>
        <w:autoSpaceDE/>
        <w:autoSpaceDN/>
        <w:bidi w:val="0"/>
        <w:spacing w:line="360" w:lineRule="auto"/>
        <w:ind w:firstLine="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支付</w:t>
      </w:r>
    </w:p>
    <w:p w14:paraId="5AA31E4B">
      <w:pPr>
        <w:pageBreakBefore w:val="0"/>
        <w:kinsoku/>
        <w:wordWrap/>
        <w:overflowPunct/>
        <w:topLinePunct w:val="0"/>
        <w:autoSpaceDE/>
        <w:autoSpaceDN/>
        <w:bidi w:val="0"/>
        <w:spacing w:line="360" w:lineRule="auto"/>
        <w:ind w:firstLine="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5.1</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支付货币</w:t>
      </w:r>
    </w:p>
    <w:p w14:paraId="3AE4C217">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支付货币种为：人民币 。</w:t>
      </w:r>
    </w:p>
    <w:p w14:paraId="69F67F6C">
      <w:pPr>
        <w:pageBreakBefore w:val="0"/>
        <w:kinsoku/>
        <w:wordWrap/>
        <w:overflowPunct/>
        <w:topLinePunct w:val="0"/>
        <w:autoSpaceDE/>
        <w:autoSpaceDN/>
        <w:bidi w:val="0"/>
        <w:spacing w:line="360" w:lineRule="auto"/>
        <w:ind w:firstLine="5"/>
        <w:rPr>
          <w:rFonts w:hint="eastAsia" w:ascii="宋体" w:hAnsi="宋体" w:eastAsia="宋体" w:cs="宋体"/>
          <w:color w:val="auto"/>
          <w:sz w:val="24"/>
          <w:szCs w:val="24"/>
          <w:highlight w:val="none"/>
          <w:lang w:val="en-US" w:eastAsia="zh-CN"/>
          <w14:textOutline w14:w="4064" w14:cap="flat" w14:cmpd="sng" w14:algn="ctr">
            <w14:solidFill>
              <w14:srgbClr w14:val="000000"/>
            </w14:solidFill>
            <w14:prstDash w14:val="solid"/>
            <w14:miter w14:val="0"/>
          </w14:textOutli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5.</w:t>
      </w:r>
      <w:r>
        <w:rPr>
          <w:rFonts w:hint="eastAsia" w:ascii="宋体" w:hAnsi="宋体" w:eastAsia="宋体" w:cs="宋体"/>
          <w:color w:val="auto"/>
          <w:sz w:val="24"/>
          <w:szCs w:val="24"/>
          <w:highlight w:val="none"/>
          <w:lang w:val="en-US" w:eastAsia="zh-CN"/>
          <w14:textOutline w14:w="4064" w14:cap="flat" w14:cmpd="sng" w14:algn="ctr">
            <w14:solidFill>
              <w14:srgbClr w14:val="000000"/>
            </w14:solidFill>
            <w14:prstDash w14:val="solid"/>
            <w14:miter w14:val="0"/>
          </w14:textOutline>
        </w:rPr>
        <w:t>2</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 xml:space="preserve"> 支付</w:t>
      </w:r>
      <w:r>
        <w:rPr>
          <w:rFonts w:hint="eastAsia" w:ascii="宋体" w:hAnsi="宋体" w:eastAsia="宋体" w:cs="宋体"/>
          <w:color w:val="auto"/>
          <w:sz w:val="24"/>
          <w:szCs w:val="24"/>
          <w:highlight w:val="none"/>
          <w:lang w:val="en-US" w:eastAsia="zh-CN"/>
          <w14:textOutline w14:w="4064" w14:cap="flat" w14:cmpd="sng" w14:algn="ctr">
            <w14:solidFill>
              <w14:srgbClr w14:val="000000"/>
            </w14:solidFill>
            <w14:prstDash w14:val="solid"/>
            <w14:miter w14:val="0"/>
          </w14:textOutline>
        </w:rPr>
        <w:t>方式</w:t>
      </w:r>
    </w:p>
    <w:p w14:paraId="178BE511">
      <w:pPr>
        <w:keepNext w:val="0"/>
        <w:keepLines w:val="0"/>
        <w:pageBreakBefore w:val="0"/>
        <w:widowControl w:val="0"/>
        <w:numPr>
          <w:ilvl w:val="0"/>
          <w:numId w:val="52"/>
        </w:numPr>
        <w:kinsoku/>
        <w:wordWrap/>
        <w:overflowPunct/>
        <w:topLinePunct w:val="0"/>
        <w:autoSpaceDE/>
        <w:autoSpaceDN/>
        <w:bidi w:val="0"/>
        <w:adjustRightInd/>
        <w:snapToGrid/>
        <w:spacing w:line="300" w:lineRule="auto"/>
        <w:ind w:left="839" w:leftChars="0" w:hanging="839"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预付款：</w:t>
      </w:r>
      <w:r>
        <w:rPr>
          <w:rFonts w:hint="eastAsia" w:ascii="宋体" w:hAnsi="宋体" w:eastAsia="宋体" w:cs="宋体"/>
          <w:b w:val="0"/>
          <w:bCs w:val="0"/>
          <w:color w:val="auto"/>
          <w:sz w:val="24"/>
          <w:szCs w:val="24"/>
          <w:highlight w:val="none"/>
          <w:lang w:val="en-US" w:eastAsia="zh-CN"/>
        </w:rPr>
        <w:t>委托人从项目开工、驻场人员完全到位后支付合同金额10%。</w:t>
      </w:r>
    </w:p>
    <w:p w14:paraId="14715268">
      <w:pPr>
        <w:keepNext w:val="0"/>
        <w:keepLines w:val="0"/>
        <w:pageBreakBefore w:val="0"/>
        <w:widowControl w:val="0"/>
        <w:numPr>
          <w:ilvl w:val="0"/>
          <w:numId w:val="52"/>
        </w:numPr>
        <w:kinsoku/>
        <w:wordWrap/>
        <w:overflowPunct/>
        <w:topLinePunct w:val="0"/>
        <w:autoSpaceDE/>
        <w:autoSpaceDN/>
        <w:bidi w:val="0"/>
        <w:adjustRightInd/>
        <w:snapToGrid/>
        <w:spacing w:line="300" w:lineRule="auto"/>
        <w:ind w:left="839" w:leftChars="0" w:hanging="839"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进度款：</w:t>
      </w:r>
      <w:r>
        <w:rPr>
          <w:rFonts w:hint="eastAsia" w:ascii="宋体" w:hAnsi="宋体" w:eastAsia="宋体" w:cs="宋体"/>
          <w:b w:val="0"/>
          <w:bCs w:val="0"/>
          <w:color w:val="auto"/>
          <w:sz w:val="24"/>
          <w:szCs w:val="24"/>
          <w:highlight w:val="none"/>
          <w:lang w:val="en-US" w:eastAsia="zh-CN"/>
        </w:rPr>
        <w:t>委托人在每季度末向监理人支付咨询费。监理人每季度最后一月25日前提出付款申请。施工期间，根据咨询服务的基本时间要求，每季度平均平摊支付(</w:t>
      </w:r>
      <w:r>
        <w:rPr>
          <w:rFonts w:hint="eastAsia" w:ascii="宋体" w:hAnsi="宋体" w:eastAsia="宋体" w:cs="宋体"/>
          <w:b/>
          <w:bCs/>
          <w:color w:val="auto"/>
          <w:sz w:val="24"/>
          <w:szCs w:val="24"/>
          <w:highlight w:val="none"/>
          <w:lang w:val="en-US" w:eastAsia="zh-CN"/>
        </w:rPr>
        <w:t>工期按6个季度平摊</w:t>
      </w:r>
      <w:r>
        <w:rPr>
          <w:rFonts w:hint="eastAsia" w:ascii="宋体" w:hAnsi="宋体" w:eastAsia="宋体" w:cs="宋体"/>
          <w:b w:val="0"/>
          <w:bCs w:val="0"/>
          <w:color w:val="auto"/>
          <w:sz w:val="24"/>
          <w:szCs w:val="24"/>
          <w:highlight w:val="none"/>
          <w:lang w:val="en-US" w:eastAsia="zh-CN"/>
        </w:rPr>
        <w:t>)，每季度支付合同价款的12.5%，项目完成前，此项累计支付75%。</w:t>
      </w:r>
    </w:p>
    <w:p w14:paraId="11C01DC0">
      <w:pPr>
        <w:keepNext w:val="0"/>
        <w:keepLines w:val="0"/>
        <w:pageBreakBefore w:val="0"/>
        <w:widowControl w:val="0"/>
        <w:numPr>
          <w:ilvl w:val="0"/>
          <w:numId w:val="52"/>
        </w:numPr>
        <w:kinsoku/>
        <w:wordWrap/>
        <w:overflowPunct/>
        <w:topLinePunct w:val="0"/>
        <w:autoSpaceDE/>
        <w:autoSpaceDN/>
        <w:bidi w:val="0"/>
        <w:adjustRightInd/>
        <w:snapToGrid/>
        <w:spacing w:line="300" w:lineRule="auto"/>
        <w:ind w:left="839" w:leftChars="0" w:hanging="839"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结算款：</w:t>
      </w:r>
      <w:r>
        <w:rPr>
          <w:rFonts w:hint="eastAsia" w:ascii="宋体" w:hAnsi="宋体" w:eastAsia="宋体" w:cs="宋体"/>
          <w:b w:val="0"/>
          <w:bCs w:val="0"/>
          <w:color w:val="auto"/>
          <w:sz w:val="24"/>
          <w:szCs w:val="24"/>
          <w:highlight w:val="none"/>
          <w:lang w:val="en-US" w:eastAsia="zh-CN"/>
        </w:rPr>
        <w:t>全部项目完成后取得验收报告，双方结算完成取得结算报告后，支付至合同结算金额的97%。</w:t>
      </w:r>
    </w:p>
    <w:p w14:paraId="2FD69156">
      <w:pPr>
        <w:keepNext w:val="0"/>
        <w:keepLines w:val="0"/>
        <w:pageBreakBefore w:val="0"/>
        <w:widowControl w:val="0"/>
        <w:numPr>
          <w:ilvl w:val="0"/>
          <w:numId w:val="52"/>
        </w:numPr>
        <w:kinsoku/>
        <w:wordWrap/>
        <w:overflowPunct/>
        <w:topLinePunct w:val="0"/>
        <w:autoSpaceDE/>
        <w:autoSpaceDN/>
        <w:bidi w:val="0"/>
        <w:adjustRightInd/>
        <w:snapToGrid/>
        <w:spacing w:line="300" w:lineRule="auto"/>
        <w:ind w:left="839" w:leftChars="0" w:hanging="839" w:firstLineChars="0"/>
        <w:textAlignment w:val="auto"/>
        <w:rPr>
          <w:rFonts w:hint="eastAsia" w:ascii="宋体" w:hAnsi="宋体" w:eastAsia="宋体" w:cs="宋体"/>
          <w:color w:val="auto"/>
          <w:sz w:val="24"/>
          <w:szCs w:val="24"/>
          <w:highlight w:val="none"/>
          <w:lang w:val="en-US" w:eastAsia="zh-CN"/>
          <w14:textOutline w14:w="4064" w14:cap="flat" w14:cmpd="sng" w14:algn="ctr">
            <w14:solidFill>
              <w14:srgbClr w14:val="000000"/>
            </w14:solidFill>
            <w14:prstDash w14:val="solid"/>
            <w14:miter w14:val="0"/>
          </w14:textOutline>
        </w:rPr>
      </w:pPr>
      <w:r>
        <w:rPr>
          <w:rFonts w:hint="eastAsia" w:ascii="宋体" w:hAnsi="宋体" w:eastAsia="宋体" w:cs="宋体"/>
          <w:b/>
          <w:bCs/>
          <w:color w:val="auto"/>
          <w:sz w:val="24"/>
          <w:szCs w:val="24"/>
          <w:highlight w:val="none"/>
          <w:lang w:val="en-US" w:eastAsia="zh-CN"/>
        </w:rPr>
        <w:t>尾款：</w:t>
      </w:r>
      <w:r>
        <w:rPr>
          <w:rFonts w:hint="eastAsia" w:ascii="宋体" w:hAnsi="宋体" w:eastAsia="宋体" w:cs="宋体"/>
          <w:b w:val="0"/>
          <w:bCs w:val="0"/>
          <w:color w:val="auto"/>
          <w:sz w:val="24"/>
          <w:szCs w:val="24"/>
          <w:highlight w:val="none"/>
          <w:lang w:val="en-US" w:eastAsia="zh-CN"/>
        </w:rPr>
        <w:t>缺陷责任期满且无质量问题后，委托人向监理人支付扣除违约金或罚款后的全部剩余结算费用。</w:t>
      </w:r>
    </w:p>
    <w:p w14:paraId="2B77C4EA">
      <w:pPr>
        <w:keepNext w:val="0"/>
        <w:keepLines w:val="0"/>
        <w:pageBreakBefore w:val="0"/>
        <w:widowControl w:val="0"/>
        <w:numPr>
          <w:ilvl w:val="0"/>
          <w:numId w:val="52"/>
        </w:numPr>
        <w:kinsoku/>
        <w:wordWrap/>
        <w:overflowPunct/>
        <w:topLinePunct w:val="0"/>
        <w:autoSpaceDE/>
        <w:autoSpaceDN/>
        <w:bidi w:val="0"/>
        <w:adjustRightInd/>
        <w:snapToGrid/>
        <w:spacing w:line="300" w:lineRule="auto"/>
        <w:ind w:left="839" w:leftChars="0" w:hanging="839"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说明：</w:t>
      </w:r>
    </w:p>
    <w:p w14:paraId="4069499A">
      <w:pPr>
        <w:keepNext w:val="0"/>
        <w:keepLines w:val="0"/>
        <w:pageBreakBefore w:val="0"/>
        <w:widowControl w:val="0"/>
        <w:numPr>
          <w:ilvl w:val="0"/>
          <w:numId w:val="53"/>
        </w:numPr>
        <w:kinsoku/>
        <w:wordWrap/>
        <w:overflowPunct/>
        <w:topLinePunct w:val="0"/>
        <w:autoSpaceDE/>
        <w:autoSpaceDN/>
        <w:bidi w:val="0"/>
        <w:adjustRightInd/>
        <w:snapToGrid/>
        <w:spacing w:line="300" w:lineRule="auto"/>
        <w:ind w:left="840" w:leftChars="200" w:hanging="42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该价格包括但不限于为实施和完成本项目全过程监理服务（施工准备阶段、施工阶段、竣工验收阶段、协助结算审计）工作所需项目监理人员工资、技术咨询服务费、加班费、开办费(通讯、交通、外出考察费、邮寄、快递、复印、传真、装订、办公用品、现场办公设备、仪器设备及工具、监理人员的食宿费用等)、平行抽检实验费用、办公及监理设备进退场费及场内搬迁费、管理费、保险、税费、利润及风险费等所有一切费用。</w:t>
      </w:r>
    </w:p>
    <w:p w14:paraId="6880D36E">
      <w:pPr>
        <w:keepNext w:val="0"/>
        <w:keepLines w:val="0"/>
        <w:pageBreakBefore w:val="0"/>
        <w:widowControl w:val="0"/>
        <w:numPr>
          <w:ilvl w:val="0"/>
          <w:numId w:val="53"/>
        </w:numPr>
        <w:kinsoku/>
        <w:wordWrap/>
        <w:overflowPunct/>
        <w:topLinePunct w:val="0"/>
        <w:autoSpaceDE/>
        <w:autoSpaceDN/>
        <w:bidi w:val="0"/>
        <w:adjustRightInd/>
        <w:snapToGrid/>
        <w:spacing w:line="300" w:lineRule="auto"/>
        <w:ind w:left="840" w:leftChars="200" w:hanging="42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合同金额不因物价变动、国家或地方政府的法律法规的变动，本项目的业态变更、设计变更、修改和施工内容的增减而调整。</w:t>
      </w:r>
    </w:p>
    <w:p w14:paraId="4BEBF11F">
      <w:pPr>
        <w:keepNext w:val="0"/>
        <w:keepLines w:val="0"/>
        <w:pageBreakBefore w:val="0"/>
        <w:widowControl w:val="0"/>
        <w:numPr>
          <w:ilvl w:val="0"/>
          <w:numId w:val="53"/>
        </w:numPr>
        <w:kinsoku/>
        <w:wordWrap/>
        <w:overflowPunct/>
        <w:topLinePunct w:val="0"/>
        <w:autoSpaceDE/>
        <w:autoSpaceDN/>
        <w:bidi w:val="0"/>
        <w:adjustRightInd/>
        <w:snapToGrid/>
        <w:spacing w:line="300" w:lineRule="auto"/>
        <w:ind w:left="840" w:leftChars="200" w:hanging="42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缺陷责任期满且无质量问题后，委托人向监理人支付扣除违约金或罚款后的全部剩余结算费用。委托人付款前，监理人须向委托人提供相应合法合规增值税发票，否则委托人支付款项的时间相应顺延。</w:t>
      </w:r>
    </w:p>
    <w:p w14:paraId="7C66C39F">
      <w:pPr>
        <w:keepNext w:val="0"/>
        <w:keepLines w:val="0"/>
        <w:pageBreakBefore w:val="0"/>
        <w:widowControl w:val="0"/>
        <w:numPr>
          <w:ilvl w:val="0"/>
          <w:numId w:val="53"/>
        </w:numPr>
        <w:kinsoku/>
        <w:wordWrap/>
        <w:overflowPunct/>
        <w:topLinePunct w:val="0"/>
        <w:autoSpaceDE/>
        <w:autoSpaceDN/>
        <w:bidi w:val="0"/>
        <w:adjustRightInd/>
        <w:snapToGrid/>
        <w:spacing w:line="300" w:lineRule="auto"/>
        <w:ind w:left="840" w:leftChars="200" w:hanging="42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每次付款前，监理人应提供的材料包括但不限于：付款申请、增值税普通发票、监理合同以及按委托人要求提供的其他资料等。</w:t>
      </w:r>
    </w:p>
    <w:p w14:paraId="4B0C7D0C">
      <w:pPr>
        <w:keepNext w:val="0"/>
        <w:keepLines w:val="0"/>
        <w:pageBreakBefore w:val="0"/>
        <w:widowControl w:val="0"/>
        <w:numPr>
          <w:ilvl w:val="0"/>
          <w:numId w:val="53"/>
        </w:numPr>
        <w:kinsoku/>
        <w:wordWrap/>
        <w:overflowPunct/>
        <w:topLinePunct w:val="0"/>
        <w:autoSpaceDE/>
        <w:autoSpaceDN/>
        <w:bidi w:val="0"/>
        <w:adjustRightInd/>
        <w:snapToGrid/>
        <w:spacing w:line="300" w:lineRule="auto"/>
        <w:ind w:left="840" w:leftChars="200" w:hanging="42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监理人提交支付材料后，委托人原则应在 10 个工作日内进行审核，并向监理人出具审核通过/不通过的通知，具体以委托人审核所需的实际期限为准，监理人对此不持异议，并不得就此向委托人提出索赔。</w:t>
      </w:r>
    </w:p>
    <w:p w14:paraId="7EDED7E8">
      <w:pPr>
        <w:keepNext w:val="0"/>
        <w:keepLines w:val="0"/>
        <w:pageBreakBefore w:val="0"/>
        <w:widowControl w:val="0"/>
        <w:numPr>
          <w:ilvl w:val="0"/>
          <w:numId w:val="53"/>
        </w:numPr>
        <w:kinsoku/>
        <w:wordWrap/>
        <w:overflowPunct/>
        <w:topLinePunct w:val="0"/>
        <w:autoSpaceDE/>
        <w:autoSpaceDN/>
        <w:bidi w:val="0"/>
        <w:adjustRightInd/>
        <w:snapToGrid/>
        <w:spacing w:line="300" w:lineRule="auto"/>
        <w:ind w:left="840" w:leftChars="200" w:hanging="42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如审核不通过，监理人应在收到通知后 5 个工作日进行整改， 并在合理期限内向委托人再次提交支付申请书。如审核通过，委托人应在 20 个工作日内向监理人预留的账户支付相应的工作报酬，具体以委托人完成支付所需的实际期限为准，监理人对此不持异议，并不得就此向委托人提出索赔。</w:t>
      </w:r>
    </w:p>
    <w:p w14:paraId="617E7902">
      <w:pPr>
        <w:keepNext w:val="0"/>
        <w:keepLines w:val="0"/>
        <w:pageBreakBefore w:val="0"/>
        <w:widowControl w:val="0"/>
        <w:numPr>
          <w:ilvl w:val="0"/>
          <w:numId w:val="53"/>
        </w:numPr>
        <w:kinsoku/>
        <w:wordWrap/>
        <w:overflowPunct/>
        <w:topLinePunct w:val="0"/>
        <w:autoSpaceDE/>
        <w:autoSpaceDN/>
        <w:bidi w:val="0"/>
        <w:adjustRightInd/>
        <w:snapToGrid/>
        <w:spacing w:line="300" w:lineRule="auto"/>
        <w:ind w:left="840" w:leftChars="200" w:hanging="420" w:firstLineChars="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延期监理报酬：本监理工程为工程施工全过程监理，因非监理人的原因造成工程的暂停或延误超过约定工程施工监理期限时，由此产生的费用由委托人按协议书第六条延期计算方式计算，不计入本次总价范围内，后期发生后再进行计取。监理工作的额外工作时间、附加工作时间、夜班施工、节假日休息时间加班费等由投标人自行考虑计入延期监理服务费内，委托后不再另计。</w:t>
      </w:r>
    </w:p>
    <w:p w14:paraId="2C03630C">
      <w:pPr>
        <w:keepNext w:val="0"/>
        <w:keepLines w:val="0"/>
        <w:pageBreakBefore w:val="0"/>
        <w:widowControl w:val="0"/>
        <w:numPr>
          <w:ilvl w:val="0"/>
          <w:numId w:val="52"/>
        </w:numPr>
        <w:kinsoku/>
        <w:wordWrap/>
        <w:overflowPunct/>
        <w:topLinePunct w:val="0"/>
        <w:autoSpaceDE/>
        <w:autoSpaceDN/>
        <w:bidi w:val="0"/>
        <w:adjustRightInd/>
        <w:snapToGrid/>
        <w:spacing w:line="300" w:lineRule="auto"/>
        <w:ind w:left="839" w:leftChars="0" w:hanging="839" w:firstLineChars="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监理酬金的结算：结算总价=建筑规划许可证面积×合同综合单价±变更签证增减费用-违约金-罚款。</w:t>
      </w:r>
    </w:p>
    <w:p w14:paraId="154321B9">
      <w:pPr>
        <w:keepNext w:val="0"/>
        <w:keepLines w:val="0"/>
        <w:pageBreakBefore w:val="0"/>
        <w:widowControl w:val="0"/>
        <w:kinsoku/>
        <w:wordWrap/>
        <w:overflowPunct/>
        <w:topLinePunct w:val="0"/>
        <w:autoSpaceDE/>
        <w:autoSpaceDN/>
        <w:bidi w:val="0"/>
        <w:adjustRightInd/>
        <w:snapToGrid/>
        <w:spacing w:line="360" w:lineRule="auto"/>
        <w:ind w:firstLine="6"/>
        <w:textAlignment w:val="auto"/>
        <w:rPr>
          <w:rFonts w:hint="eastAsia" w:ascii="宋体" w:hAnsi="宋体" w:eastAsia="宋体" w:cs="宋体"/>
          <w:color w:val="auto"/>
          <w:sz w:val="24"/>
          <w:szCs w:val="24"/>
          <w:highlight w:val="none"/>
        </w:rPr>
      </w:pPr>
      <w:r>
        <w:rPr>
          <w:rFonts w:hint="eastAsia" w:ascii="宋体" w:hAnsi="宋体" w:eastAsia="宋体" w:cs="宋体"/>
          <w:color w:val="auto"/>
          <w:position w:val="20"/>
          <w:sz w:val="24"/>
          <w:szCs w:val="24"/>
          <w:highlight w:val="none"/>
          <w14:textOutline w14:w="4064" w14:cap="flat" w14:cmpd="sng" w14:algn="ctr">
            <w14:solidFill>
              <w14:srgbClr w14:val="000000"/>
            </w14:solidFill>
            <w14:prstDash w14:val="solid"/>
            <w14:miter w14:val="0"/>
          </w14:textOutline>
        </w:rPr>
        <w:t>6.</w:t>
      </w:r>
      <w:r>
        <w:rPr>
          <w:rFonts w:hint="eastAsia" w:ascii="宋体" w:hAnsi="宋体" w:eastAsia="宋体" w:cs="宋体"/>
          <w:color w:val="auto"/>
          <w:position w:val="20"/>
          <w:sz w:val="24"/>
          <w:szCs w:val="24"/>
          <w:highlight w:val="none"/>
        </w:rPr>
        <w:t xml:space="preserve"> </w:t>
      </w:r>
      <w:r>
        <w:rPr>
          <w:rFonts w:hint="eastAsia" w:ascii="宋体" w:hAnsi="宋体" w:eastAsia="宋体" w:cs="宋体"/>
          <w:color w:val="auto"/>
          <w:position w:val="20"/>
          <w:sz w:val="24"/>
          <w:szCs w:val="24"/>
          <w:highlight w:val="none"/>
          <w14:textOutline w14:w="4064" w14:cap="flat" w14:cmpd="sng" w14:algn="ctr">
            <w14:solidFill>
              <w14:srgbClr w14:val="000000"/>
            </w14:solidFill>
            <w14:prstDash w14:val="solid"/>
            <w14:miter w14:val="0"/>
          </w14:textOutline>
        </w:rPr>
        <w:t>合同生效、变更、暂停、解除与终止</w:t>
      </w:r>
    </w:p>
    <w:p w14:paraId="2EEFAD05">
      <w:pPr>
        <w:keepNext w:val="0"/>
        <w:keepLines w:val="0"/>
        <w:pageBreakBefore w:val="0"/>
        <w:widowControl w:val="0"/>
        <w:kinsoku/>
        <w:wordWrap/>
        <w:overflowPunct/>
        <w:topLinePunct w:val="0"/>
        <w:autoSpaceDE/>
        <w:autoSpaceDN/>
        <w:bidi w:val="0"/>
        <w:adjustRightInd/>
        <w:snapToGrid/>
        <w:spacing w:line="360" w:lineRule="auto"/>
        <w:ind w:firstLine="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6.1</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生效</w:t>
      </w:r>
    </w:p>
    <w:p w14:paraId="597FACE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委托人和监理人的法定代表人或其授权代理人在协议书上签字并盖单位公章或合同专用章后本合同生效。</w:t>
      </w:r>
    </w:p>
    <w:p w14:paraId="677B7C31">
      <w:pPr>
        <w:pageBreakBefore w:val="0"/>
        <w:kinsoku/>
        <w:wordWrap/>
        <w:overflowPunct/>
        <w:topLinePunct w:val="0"/>
        <w:autoSpaceDE/>
        <w:autoSpaceDN/>
        <w:bidi w:val="0"/>
        <w:spacing w:line="360" w:lineRule="auto"/>
        <w:ind w:firstLine="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6.2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变更</w:t>
      </w:r>
    </w:p>
    <w:p w14:paraId="4F97350E">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6.2.1 除不可抗力外，本合同监理范围以内的监理内容，实际监理工期超过约定工程施工监理期限时，</w:t>
      </w:r>
      <w:r>
        <w:rPr>
          <w:rFonts w:hint="eastAsia" w:ascii="宋体" w:hAnsi="宋体" w:eastAsia="宋体" w:cs="宋体"/>
          <w:snapToGrid w:val="0"/>
          <w:color w:val="auto"/>
          <w:kern w:val="0"/>
          <w:sz w:val="24"/>
          <w:szCs w:val="24"/>
          <w:highlight w:val="none"/>
          <w:lang w:val="en-US" w:eastAsia="zh-CN"/>
        </w:rPr>
        <w:t>按协议书第六条延期计算方式计算。</w:t>
      </w:r>
      <w:r>
        <w:rPr>
          <w:rFonts w:hint="eastAsia" w:ascii="宋体" w:hAnsi="宋体" w:eastAsia="宋体" w:cs="宋体"/>
          <w:snapToGrid w:val="0"/>
          <w:color w:val="auto"/>
          <w:kern w:val="0"/>
          <w:sz w:val="24"/>
          <w:szCs w:val="24"/>
          <w:highlight w:val="none"/>
        </w:rPr>
        <w:t xml:space="preserve"> </w:t>
      </w:r>
    </w:p>
    <w:p w14:paraId="6C7ADE43">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6.2.2 除不可抗力外， 因非监理人原因导致本合同期限延长时， 附加工作酬金按下列方法确定：</w:t>
      </w:r>
      <w:r>
        <w:rPr>
          <w:rFonts w:hint="eastAsia" w:ascii="宋体" w:hAnsi="宋体" w:eastAsia="宋体" w:cs="宋体"/>
          <w:snapToGrid w:val="0"/>
          <w:color w:val="auto"/>
          <w:kern w:val="0"/>
          <w:sz w:val="24"/>
          <w:szCs w:val="24"/>
          <w:highlight w:val="none"/>
          <w:lang w:val="en-US" w:eastAsia="zh-CN"/>
        </w:rPr>
        <w:t>协议书第六条延期计算方式计算。</w:t>
      </w:r>
    </w:p>
    <w:p w14:paraId="2B61DF1B">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6.2.3 本合同不适用通用条款6.2.3，适用以下条款：合同生效后，如果实际情况发生变化使得监理人不能完成全部或部分工作时，监理人应立即通知委托人，如未及时通知，由此给委托人造成的损失由监理人承担。监理人用于恢复服务的准备时间不应超过 28 天，否则委托人有权要求解除合同，并要求监理人承担由此给委托人造成的一切损失。</w:t>
      </w:r>
    </w:p>
    <w:p w14:paraId="1004C622">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附加工作酬金按下列方法确定：本项目不支付附加工作酬金，该费用由投标人自行考虑在投标报价内，委托后不再计取。</w:t>
      </w:r>
    </w:p>
    <w:p w14:paraId="3B1DDBAF">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6.2.5 正常工作酬金增加额按下列方法确定：</w:t>
      </w:r>
      <w:bookmarkStart w:id="478" w:name="_Hlk86743004"/>
      <w:r>
        <w:rPr>
          <w:rFonts w:hint="eastAsia" w:ascii="宋体" w:hAnsi="宋体" w:eastAsia="宋体" w:cs="宋体"/>
          <w:snapToGrid w:val="0"/>
          <w:color w:val="auto"/>
          <w:kern w:val="0"/>
          <w:sz w:val="24"/>
          <w:szCs w:val="24"/>
          <w:highlight w:val="none"/>
        </w:rPr>
        <w:t>本项目不支付附加工作酬金，该费用由投标人自行考虑在投标报价内，委托后不再计取。</w:t>
      </w:r>
    </w:p>
    <w:bookmarkEnd w:id="478"/>
    <w:p w14:paraId="6C6CF708">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 xml:space="preserve">应委托人要求增加本合同监理范围以外的监理内容，须双方另行协商并签订补充协议。 </w:t>
      </w:r>
    </w:p>
    <w:p w14:paraId="2626C6D9">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 暂停与解除</w:t>
      </w:r>
    </w:p>
    <w:p w14:paraId="45D4F576">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6.3.1本合同不适用通用合同条款6.3.1，适用以下条款：在本合同有效期内，委托人有权因项目需要解除合同，除按专用条款6.3.6结算支付监理费用外，委托人无需赔偿监理人其他任何损失。在解除合同之前，监理人应作出合理安排，使开支减至最小，否则由此扩大的损失由监理人承担。</w:t>
      </w:r>
    </w:p>
    <w:p w14:paraId="5B70AA1D">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6.3.2</w:t>
      </w:r>
      <w:r>
        <w:rPr>
          <w:rFonts w:hint="eastAsia" w:ascii="宋体" w:hAnsi="宋体" w:eastAsia="宋体" w:cs="宋体"/>
          <w:b/>
          <w:bCs/>
          <w:color w:val="auto"/>
          <w:sz w:val="24"/>
          <w:szCs w:val="24"/>
          <w:highlight w:val="none"/>
        </w:rPr>
        <w:t xml:space="preserve">  </w:t>
      </w:r>
      <w:r>
        <w:rPr>
          <w:rFonts w:hint="eastAsia" w:ascii="宋体" w:hAnsi="宋体" w:eastAsia="宋体" w:cs="宋体"/>
          <w:snapToGrid w:val="0"/>
          <w:color w:val="auto"/>
          <w:kern w:val="0"/>
          <w:sz w:val="24"/>
          <w:szCs w:val="24"/>
          <w:highlight w:val="none"/>
        </w:rPr>
        <w:t>本合同不适用通用合同条款6.3.2，适用以下条款：在本合同有效期内，因工程施工全部或部分暂停，委托人可通知监理人要求暂停全部或部分工作，监理人应立即安排停止工作，并将开支减至最小，否则由此扩大的损失由监理人承担。暂停全部或部分工作时间超过180天，一方可发出解除该全部或部分合同的通知，解除合同的异议期为7天（自解除通知到达对方之日起算）。委托人应根据专用条款6.3.6，将监理的工作酬金支付至通知暂停工作之日，不赔偿任何损失。</w:t>
      </w:r>
    </w:p>
    <w:p w14:paraId="31F7B327">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bookmarkStart w:id="479" w:name="_Hlk86743553"/>
      <w:r>
        <w:rPr>
          <w:rFonts w:hint="eastAsia" w:ascii="宋体" w:hAnsi="宋体" w:eastAsia="宋体" w:cs="宋体"/>
          <w:snapToGrid w:val="0"/>
          <w:color w:val="auto"/>
          <w:kern w:val="0"/>
          <w:sz w:val="24"/>
          <w:szCs w:val="24"/>
          <w:highlight w:val="none"/>
        </w:rPr>
        <w:t>6.3.3 当监理人无正当理由未履行或未完全履行本合同约定的义务时，委托人应通知监理人限期改正。若委托人在监理人接到通知后的 7 天内未收到监理人书面形式的合理解释，则可在 7 天内发出解除本合同的通知，自通知到达监理人时本合同解除。委托人应将监理与相关服务的酬金支付至限期改正通知到达监理人之日，但监理人应承担第 4.1 款约定的责任。</w:t>
      </w:r>
    </w:p>
    <w:bookmarkEnd w:id="479"/>
    <w:p w14:paraId="3098659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6.3.4 监理人在第 5 条约定的支付之日起 28 天后仍未收到委托人按本合同约定应付的款项， 可向委托人发出催付通知。委托人接到通知 14 天后仍未支付或未提出监理人可以接受的延期支付安排， 监理人可向委托人发出暂停工作的通知并可自行暂停全部或部分工作。暂停工作后 14 天内监理人仍未获得委托人应付酬金或委托人的合理答复，监理人可向委托人发出解除本合同的通知，解除合同的异议期为7天（自解除通知到达对方之日起算）。</w:t>
      </w:r>
    </w:p>
    <w:p w14:paraId="318057F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 本合同解除后，本合同有关结算应按以下原则计算：以合同解除通知送达之日累计审核完成的产值-赔偿金（或罚金）。结算后，委托人有权向监理人索赔其多付的合同款项。</w:t>
      </w:r>
    </w:p>
    <w:p w14:paraId="11C15509">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补充条款6.3.7合同解除的其他事由。出现以下情形时，委托人有权解除合同：</w:t>
      </w:r>
    </w:p>
    <w:p w14:paraId="62532E5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（1）监理人违法转包或未经委托人同意擅自将该合同分包、违法分包给其他第三方，委托人有权要求解除合同，并要求监理人承担赔偿责任；</w:t>
      </w:r>
    </w:p>
    <w:p w14:paraId="2DB4BA6B">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（2）委托人因项目需要有权解除合同，委托人按监理人实际工作量支付监理费用，除此之外，委托人无需赔偿监理人任何其他损失；</w:t>
      </w:r>
    </w:p>
    <w:p w14:paraId="56932BC6">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（3）监理人发出错误指示，造成项目发生</w:t>
      </w:r>
      <w:r>
        <w:rPr>
          <w:rFonts w:hint="eastAsia" w:ascii="宋体" w:hAnsi="宋体" w:eastAsia="宋体" w:cs="宋体"/>
          <w:snapToGrid w:val="0"/>
          <w:color w:val="auto"/>
          <w:kern w:val="0"/>
          <w:sz w:val="24"/>
          <w:szCs w:val="24"/>
          <w:highlight w:val="none"/>
          <w:lang w:val="en-US" w:eastAsia="zh-CN"/>
        </w:rPr>
        <w:t>重大</w:t>
      </w:r>
      <w:r>
        <w:rPr>
          <w:rFonts w:hint="eastAsia" w:ascii="宋体" w:hAnsi="宋体" w:eastAsia="宋体" w:cs="宋体"/>
          <w:snapToGrid w:val="0"/>
          <w:color w:val="auto"/>
          <w:kern w:val="0"/>
          <w:sz w:val="24"/>
          <w:szCs w:val="24"/>
          <w:highlight w:val="none"/>
        </w:rPr>
        <w:t>安全事故、工期延误等损失时，委托人有权解除合同，</w:t>
      </w:r>
      <w:r>
        <w:rPr>
          <w:rFonts w:hint="eastAsia" w:ascii="宋体" w:hAnsi="宋体" w:eastAsia="宋体" w:cs="宋体"/>
          <w:snapToGrid w:val="0"/>
          <w:color w:val="auto"/>
          <w:kern w:val="0"/>
          <w:sz w:val="24"/>
          <w:szCs w:val="24"/>
          <w:highlight w:val="none"/>
          <w:lang w:val="en-US" w:eastAsia="zh-CN"/>
        </w:rPr>
        <w:t>要求监理人应当赔偿委托人的直接损失的5%。</w:t>
      </w:r>
    </w:p>
    <w:p w14:paraId="6A09C0D7">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（4）因项目发生重大变化，或因其他第三方单位等非委托人的原因致使合同无法履行，委托人有权要求解除合同，委托人按监理人实际工作量支付监理费用，除此之外，委托人无需赔偿监理人任何其他损失；</w:t>
      </w:r>
    </w:p>
    <w:p w14:paraId="401CBFF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（5）本合同约定的其他解除事由。</w:t>
      </w:r>
    </w:p>
    <w:p w14:paraId="480127D1">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委托人以书面形式解除合同的，解除异议期间为7天，监理人应自合同解除通知到达监理人7日之内提出异议，否则合同自解除通知到达监理人之日起解除。</w:t>
      </w:r>
    </w:p>
    <w:p w14:paraId="6EAB5C6B">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补充条款6.3.8工程缓建</w:t>
      </w:r>
    </w:p>
    <w:p w14:paraId="1CEF666E">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（1）监理人接到委托人缓建通知之日即暂停工程监理。 </w:t>
      </w:r>
    </w:p>
    <w:p w14:paraId="759DF697">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（2）监理人在接到委托人缓建通知 30 日内完善已监理工程内容的所有相关手续并移交委托人。 </w:t>
      </w:r>
    </w:p>
    <w:p w14:paraId="14C745D3">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（3）监理费暂停支付，待复工后继续执行合同条款。 </w:t>
      </w:r>
    </w:p>
    <w:p w14:paraId="6410E0B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（4）监理人接到委托人复工通知</w:t>
      </w:r>
      <w:r>
        <w:rPr>
          <w:rFonts w:hint="eastAsia" w:ascii="宋体" w:hAnsi="宋体" w:eastAsia="宋体" w:cs="宋体"/>
          <w:snapToGrid w:val="0"/>
          <w:color w:val="auto"/>
          <w:kern w:val="0"/>
          <w:sz w:val="24"/>
          <w:szCs w:val="24"/>
          <w:highlight w:val="none"/>
          <w:lang w:val="en-US" w:eastAsia="zh-CN"/>
        </w:rPr>
        <w:t>5日内</w:t>
      </w:r>
      <w:r>
        <w:rPr>
          <w:rFonts w:hint="eastAsia" w:ascii="宋体" w:hAnsi="宋体" w:eastAsia="宋体" w:cs="宋体"/>
          <w:snapToGrid w:val="0"/>
          <w:color w:val="auto"/>
          <w:kern w:val="0"/>
          <w:sz w:val="24"/>
          <w:szCs w:val="24"/>
          <w:highlight w:val="none"/>
        </w:rPr>
        <w:t xml:space="preserve">应恢复正常监理。监理人员的指派原则上不能变更，若需变更须书面征得委托人同意。 </w:t>
      </w:r>
    </w:p>
    <w:p w14:paraId="49C919C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（5）复工后监理费用的支付：与缓建前衔接并按合同规定的</w:t>
      </w:r>
      <w:r>
        <w:rPr>
          <w:rFonts w:hint="eastAsia" w:ascii="宋体" w:hAnsi="宋体" w:eastAsia="宋体" w:cs="宋体"/>
          <w:snapToGrid w:val="0"/>
          <w:color w:val="auto"/>
          <w:kern w:val="0"/>
          <w:sz w:val="24"/>
          <w:szCs w:val="24"/>
          <w:highlight w:val="none"/>
          <w:lang w:val="en-US" w:eastAsia="zh-CN"/>
        </w:rPr>
        <w:t>时间节点</w:t>
      </w:r>
      <w:r>
        <w:rPr>
          <w:rFonts w:hint="eastAsia" w:ascii="宋体" w:hAnsi="宋体" w:eastAsia="宋体" w:cs="宋体"/>
          <w:snapToGrid w:val="0"/>
          <w:color w:val="auto"/>
          <w:kern w:val="0"/>
          <w:sz w:val="24"/>
          <w:szCs w:val="24"/>
          <w:highlight w:val="none"/>
        </w:rPr>
        <w:t>支付。</w:t>
      </w:r>
    </w:p>
    <w:p w14:paraId="6910E63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（6）工程缓建期间，监理人应根据委托人通知的项目实际情况，合理作出工作安排，且不得就工程缓建事宜，向委托人提出任何索赔。</w:t>
      </w:r>
    </w:p>
    <w:p w14:paraId="2897387C">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6.4 工程停建 </w:t>
      </w:r>
    </w:p>
    <w:p w14:paraId="39CACE98">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（1）监理人接到委托人停建通知之日即停止工程监理（即工程取消建设） 。 </w:t>
      </w:r>
    </w:p>
    <w:p w14:paraId="6FF8C5E2">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（2）监理人必须在接到委托人停建通知 30 日内完善已监理工程内容的所有相关手续并移交委托人方能办理监理费用结算。 </w:t>
      </w:r>
    </w:p>
    <w:p w14:paraId="6D3C287F">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（3） 委托人在监理人完善所有监理手续后 15 日内与监理人办理完监理费用结算。 </w:t>
      </w:r>
    </w:p>
    <w:p w14:paraId="1DEBDC40">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position w:val="20"/>
          <w:sz w:val="24"/>
          <w:szCs w:val="24"/>
          <w:highlight w:val="none"/>
          <w14:textOutline w14:w="4064" w14:cap="flat" w14:cmpd="sng" w14:algn="ctr">
            <w14:solidFill>
              <w14:srgbClr w14:val="000000"/>
            </w14:solidFill>
            <w14:prstDash w14:val="solid"/>
            <w14:miter w14:val="0"/>
          </w14:textOutline>
        </w:rPr>
      </w:pPr>
      <w:r>
        <w:rPr>
          <w:rFonts w:hint="eastAsia" w:ascii="宋体" w:hAnsi="宋体" w:eastAsia="宋体" w:cs="宋体"/>
          <w:snapToGrid w:val="0"/>
          <w:color w:val="auto"/>
          <w:kern w:val="0"/>
          <w:sz w:val="24"/>
          <w:szCs w:val="24"/>
          <w:highlight w:val="none"/>
        </w:rPr>
        <w:t>（4）结算监理费按本合同的规定进行结算。结算监理费余额由委托人一次性支付给监理人， 支付时应扣除已支付过的监理费。 结算监理费支付完毕，双方即终止监理合同。</w:t>
      </w:r>
    </w:p>
    <w:p w14:paraId="03B85C07">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position w:val="20"/>
          <w:sz w:val="24"/>
          <w:szCs w:val="24"/>
          <w:highlight w:val="none"/>
          <w14:textOutline w14:w="4064" w14:cap="flat" w14:cmpd="sng" w14:algn="ctr">
            <w14:solidFill>
              <w14:srgbClr w14:val="000000"/>
            </w14:solidFill>
            <w14:prstDash w14:val="solid"/>
            <w14:miter w14:val="0"/>
          </w14:textOutline>
        </w:rPr>
        <w:t>7.</w:t>
      </w:r>
      <w:r>
        <w:rPr>
          <w:rFonts w:hint="eastAsia" w:ascii="宋体" w:hAnsi="宋体" w:eastAsia="宋体" w:cs="宋体"/>
          <w:color w:val="auto"/>
          <w:position w:val="20"/>
          <w:sz w:val="24"/>
          <w:szCs w:val="24"/>
          <w:highlight w:val="none"/>
        </w:rPr>
        <w:t xml:space="preserve"> </w:t>
      </w:r>
      <w:r>
        <w:rPr>
          <w:rFonts w:hint="eastAsia" w:ascii="宋体" w:hAnsi="宋体" w:eastAsia="宋体" w:cs="宋体"/>
          <w:color w:val="auto"/>
          <w:position w:val="20"/>
          <w:sz w:val="24"/>
          <w:szCs w:val="24"/>
          <w:highlight w:val="none"/>
          <w14:textOutline w14:w="4064" w14:cap="flat" w14:cmpd="sng" w14:algn="ctr">
            <w14:solidFill>
              <w14:srgbClr w14:val="000000"/>
            </w14:solidFill>
            <w14:prstDash w14:val="solid"/>
            <w14:miter w14:val="0"/>
          </w14:textOutline>
        </w:rPr>
        <w:t>争议解决</w:t>
      </w:r>
    </w:p>
    <w:p w14:paraId="1376F5F3">
      <w:pPr>
        <w:pageBreakBefore w:val="0"/>
        <w:kinsoku/>
        <w:wordWrap/>
        <w:overflowPunct/>
        <w:topLinePunct w:val="0"/>
        <w:autoSpaceDE/>
        <w:autoSpaceDN/>
        <w:bidi w:val="0"/>
        <w:spacing w:line="360" w:lineRule="auto"/>
        <w:ind w:firstLine="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7.</w:t>
      </w:r>
      <w:r>
        <w:rPr>
          <w:rFonts w:hint="eastAsia" w:ascii="宋体" w:hAnsi="宋体" w:eastAsia="宋体" w:cs="宋体"/>
          <w:color w:val="auto"/>
          <w:sz w:val="24"/>
          <w:szCs w:val="24"/>
          <w:highlight w:val="none"/>
          <w:lang w:val="en-US" w:eastAsia="zh-CN"/>
          <w14:textOutline w14:w="4064" w14:cap="flat" w14:cmpd="sng" w14:algn="ctr">
            <w14:solidFill>
              <w14:srgbClr w14:val="000000"/>
            </w14:solidFill>
            <w14:prstDash w14:val="solid"/>
            <w14:miter w14:val="0"/>
          </w14:textOutline>
        </w:rPr>
        <w:t>1</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调解</w:t>
      </w:r>
    </w:p>
    <w:p w14:paraId="6AA2D7D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本合同争议进行调解时，可提交项目所在地相关主管部门进行调解。</w:t>
      </w:r>
    </w:p>
    <w:p w14:paraId="5F2184FD">
      <w:pPr>
        <w:pageBreakBefore w:val="0"/>
        <w:kinsoku/>
        <w:wordWrap/>
        <w:overflowPunct/>
        <w:topLinePunct w:val="0"/>
        <w:autoSpaceDE/>
        <w:autoSpaceDN/>
        <w:bidi w:val="0"/>
        <w:spacing w:line="360" w:lineRule="auto"/>
        <w:ind w:firstLine="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7.</w:t>
      </w:r>
      <w:r>
        <w:rPr>
          <w:rFonts w:hint="eastAsia" w:ascii="宋体" w:hAnsi="宋体" w:eastAsia="宋体" w:cs="宋体"/>
          <w:color w:val="auto"/>
          <w:sz w:val="24"/>
          <w:szCs w:val="24"/>
          <w:highlight w:val="none"/>
          <w:lang w:val="en-US" w:eastAsia="zh-CN"/>
          <w14:textOutline w14:w="4064" w14:cap="flat" w14:cmpd="sng" w14:algn="ctr">
            <w14:solidFill>
              <w14:srgbClr w14:val="000000"/>
            </w14:solidFill>
            <w14:prstDash w14:val="solid"/>
            <w14:miter w14:val="0"/>
          </w14:textOutline>
        </w:rPr>
        <w:t>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仲裁或诉讼</w:t>
      </w:r>
    </w:p>
    <w:p w14:paraId="74F36B2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合同争议的最终解决方式为下列第</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种方式：</w:t>
      </w:r>
    </w:p>
    <w:p w14:paraId="75B099B7">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（1）提请</w:t>
      </w:r>
      <w:r>
        <w:rPr>
          <w:rFonts w:hint="eastAsia" w:ascii="宋体" w:hAnsi="宋体" w:eastAsia="宋体" w:cs="宋体"/>
          <w:snapToGrid w:val="0"/>
          <w:color w:val="auto"/>
          <w:kern w:val="0"/>
          <w:sz w:val="24"/>
          <w:szCs w:val="24"/>
          <w:highlight w:val="none"/>
          <w:u w:val="single"/>
        </w:rPr>
        <w:t xml:space="preserve">  /  </w:t>
      </w:r>
      <w:r>
        <w:rPr>
          <w:rFonts w:hint="eastAsia" w:ascii="宋体" w:hAnsi="宋体" w:eastAsia="宋体" w:cs="宋体"/>
          <w:snapToGrid w:val="0"/>
          <w:color w:val="auto"/>
          <w:kern w:val="0"/>
          <w:sz w:val="24"/>
          <w:szCs w:val="24"/>
          <w:highlight w:val="none"/>
        </w:rPr>
        <w:t>仲裁委员会进行仲裁。</w:t>
      </w:r>
    </w:p>
    <w:p w14:paraId="0A7C7B19">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（2）项目所在地有管辖权的人民法院提起诉讼。</w:t>
      </w:r>
    </w:p>
    <w:p w14:paraId="20F38FED">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如因监理人原因引起的诉讼或仲裁，导致发包人成为被告、被申请人、第三人等而产生的费用（包括不限于停工损失、发包人被财产保全所造成的损失、律师费、诉讼费、仲裁费、保全费等费用） ，均由监理人承担</w:t>
      </w:r>
      <w:r>
        <w:rPr>
          <w:rFonts w:hint="eastAsia" w:ascii="宋体" w:hAnsi="宋体" w:eastAsia="宋体" w:cs="宋体"/>
          <w:snapToGrid w:val="0"/>
          <w:color w:val="auto"/>
          <w:kern w:val="0"/>
          <w:sz w:val="24"/>
          <w:szCs w:val="24"/>
          <w:highlight w:val="none"/>
          <w:lang w:eastAsia="zh-CN"/>
        </w:rPr>
        <w:t>。</w:t>
      </w:r>
    </w:p>
    <w:p w14:paraId="7181BD12">
      <w:pPr>
        <w:pageBreakBefore w:val="0"/>
        <w:kinsoku/>
        <w:wordWrap/>
        <w:overflowPunct/>
        <w:topLinePunct w:val="0"/>
        <w:autoSpaceDE/>
        <w:autoSpaceDN/>
        <w:bidi w:val="0"/>
        <w:spacing w:line="360" w:lineRule="auto"/>
        <w:ind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8.</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其他</w:t>
      </w:r>
    </w:p>
    <w:p w14:paraId="3B562B26">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 外出考察费用：本项目不支付外出考察费用，该费用由投标人自行考虑在投标报价内，委托后不再计取。</w:t>
      </w:r>
    </w:p>
    <w:p w14:paraId="5853FBF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8.2 </w:t>
      </w:r>
      <w:r>
        <w:rPr>
          <w:rFonts w:hint="eastAsia" w:ascii="宋体" w:hAnsi="宋体" w:eastAsia="宋体" w:cs="宋体"/>
          <w:snapToGrid w:val="0"/>
          <w:color w:val="auto"/>
          <w:kern w:val="0"/>
          <w:sz w:val="24"/>
          <w:szCs w:val="24"/>
          <w:highlight w:val="none"/>
          <w:lang w:val="en-US" w:eastAsia="zh-CN"/>
        </w:rPr>
        <w:t>平行</w:t>
      </w:r>
      <w:r>
        <w:rPr>
          <w:rFonts w:hint="eastAsia" w:ascii="宋体" w:hAnsi="宋体" w:eastAsia="宋体" w:cs="宋体"/>
          <w:snapToGrid w:val="0"/>
          <w:color w:val="auto"/>
          <w:kern w:val="0"/>
          <w:sz w:val="24"/>
          <w:szCs w:val="24"/>
          <w:highlight w:val="none"/>
        </w:rPr>
        <w:t>检测费用：本项目不支付</w:t>
      </w:r>
      <w:r>
        <w:rPr>
          <w:rFonts w:hint="eastAsia" w:ascii="宋体" w:hAnsi="宋体" w:eastAsia="宋体" w:cs="宋体"/>
          <w:snapToGrid w:val="0"/>
          <w:color w:val="auto"/>
          <w:kern w:val="0"/>
          <w:sz w:val="24"/>
          <w:szCs w:val="24"/>
          <w:highlight w:val="none"/>
          <w:lang w:val="en-US" w:eastAsia="zh-CN"/>
        </w:rPr>
        <w:t>平行</w:t>
      </w:r>
      <w:r>
        <w:rPr>
          <w:rFonts w:hint="eastAsia" w:ascii="宋体" w:hAnsi="宋体" w:eastAsia="宋体" w:cs="宋体"/>
          <w:snapToGrid w:val="0"/>
          <w:color w:val="auto"/>
          <w:kern w:val="0"/>
          <w:sz w:val="24"/>
          <w:szCs w:val="24"/>
          <w:highlight w:val="none"/>
        </w:rPr>
        <w:t>检测费用，该费用由投标人自行考虑在投标报价内，委托后不再计取。</w:t>
      </w:r>
    </w:p>
    <w:p w14:paraId="01FF8A09">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8.3 咨询费用：本项目不支付咨询费用，该费用由投标人自行考虑在投标报价内，委托后不再计取。</w:t>
      </w:r>
    </w:p>
    <w:p w14:paraId="2473E0B7">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8.4 奖励：</w:t>
      </w:r>
      <w:r>
        <w:rPr>
          <w:rFonts w:hint="eastAsia" w:ascii="宋体" w:hAnsi="宋体" w:eastAsia="宋体" w:cs="宋体"/>
          <w:snapToGrid w:val="0"/>
          <w:color w:val="auto"/>
          <w:kern w:val="0"/>
          <w:sz w:val="24"/>
          <w:szCs w:val="24"/>
          <w:highlight w:val="none"/>
          <w:lang w:val="en-US" w:eastAsia="zh-CN"/>
        </w:rPr>
        <w:t>双方协商解决，签订补充协议</w:t>
      </w:r>
      <w:r>
        <w:rPr>
          <w:rFonts w:hint="eastAsia" w:ascii="宋体" w:hAnsi="宋体" w:eastAsia="宋体" w:cs="宋体"/>
          <w:snapToGrid w:val="0"/>
          <w:color w:val="auto"/>
          <w:kern w:val="0"/>
          <w:sz w:val="24"/>
          <w:szCs w:val="24"/>
          <w:highlight w:val="none"/>
        </w:rPr>
        <w:t>。</w:t>
      </w:r>
    </w:p>
    <w:p w14:paraId="6AFAC0EB">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 xml:space="preserve"> 保密：监理人不得向第三方泄露委托人提供的资料或文件。</w:t>
      </w:r>
    </w:p>
    <w:p w14:paraId="1F8734F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1、委托人申明的保密事项： 监理人不得向第三方泄露委托人提供的资料或文件， 不得将本项目有关资料或文件用于执行本合同以外的目的。</w:t>
      </w:r>
    </w:p>
    <w:p w14:paraId="1B03E53E">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2、监理人申明的保密事项：     </w:t>
      </w:r>
    </w:p>
    <w:p w14:paraId="7C2F092F">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 xml:space="preserve"> 著作权</w:t>
      </w:r>
    </w:p>
    <w:p w14:paraId="4E68713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监理人为本项目编制的文件著作权归委托人享有，委托人有权以修改、公开、出版等方式加以使用，监理人不得提出异议。</w:t>
      </w:r>
    </w:p>
    <w:p w14:paraId="4B73319D">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监理人在本合同履行期间及本合同终止不得公开、出版涉及本工程的有关监理与相关服务的资料。</w:t>
      </w:r>
    </w:p>
    <w:p w14:paraId="3F2217E3">
      <w:pPr>
        <w:pageBreakBefore w:val="0"/>
        <w:kinsoku/>
        <w:wordWrap/>
        <w:overflowPunct/>
        <w:topLinePunct w:val="0"/>
        <w:autoSpaceDE/>
        <w:autoSpaceDN/>
        <w:bidi w:val="0"/>
        <w:spacing w:line="360" w:lineRule="auto"/>
        <w:ind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9.</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补充条款</w:t>
      </w:r>
    </w:p>
    <w:p w14:paraId="455A843F">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9.1 委托人对监理人工作考核及处理办法</w:t>
      </w:r>
    </w:p>
    <w:p w14:paraId="0B6C66F3">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监理人必须严格遵守监理规范及监理合同，严格遵守委托人制订的工程变更、计量程序以及 相应的审签制度， 搞好“三控两管”， 即工程质量控制、工程进度控制、工程投资控制和合同管理、安全管理，</w:t>
      </w:r>
      <w:r>
        <w:rPr>
          <w:rFonts w:hint="eastAsia" w:ascii="宋体" w:hAnsi="宋体" w:eastAsia="宋体" w:cs="宋体"/>
          <w:snapToGrid w:val="0"/>
          <w:color w:val="auto"/>
          <w:kern w:val="0"/>
          <w:sz w:val="24"/>
          <w:szCs w:val="24"/>
          <w:highlight w:val="none"/>
          <w:lang w:eastAsia="zh-CN"/>
        </w:rPr>
        <w:t>做到</w:t>
      </w:r>
      <w:r>
        <w:rPr>
          <w:rFonts w:hint="eastAsia" w:ascii="宋体" w:hAnsi="宋体" w:eastAsia="宋体" w:cs="宋体"/>
          <w:snapToGrid w:val="0"/>
          <w:color w:val="auto"/>
          <w:kern w:val="0"/>
          <w:sz w:val="24"/>
          <w:szCs w:val="24"/>
          <w:highlight w:val="none"/>
        </w:rPr>
        <w:t>“严格监理、热情服务、秉公办事、一丝不苟”。</w:t>
      </w:r>
    </w:p>
    <w:p w14:paraId="2E8B9A61">
      <w:pPr>
        <w:pageBreakBefore w:val="0"/>
        <w:kinsoku/>
        <w:wordWrap/>
        <w:overflowPunct/>
        <w:topLinePunct w:val="0"/>
        <w:autoSpaceDE/>
        <w:autoSpaceDN/>
        <w:bidi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监理人必须保证监理人员的工作能力、思想素质、身体素质满足本工程要求，如果人员进场后，委托人认为有工作能力不能胜任其岗位要求的，并提出更换要求时，监理人必须在 7 日内将其更换。若监理人委派的监理人员的工作能力无法胜任岗位要求的，委托人有权要求更换。</w:t>
      </w:r>
      <w:r>
        <w:rPr>
          <w:rFonts w:hint="eastAsia" w:ascii="宋体" w:hAnsi="宋体" w:eastAsia="宋体" w:cs="宋体"/>
          <w:snapToGrid w:val="0"/>
          <w:color w:val="auto"/>
          <w:kern w:val="0"/>
          <w:sz w:val="24"/>
          <w:szCs w:val="24"/>
          <w:highlight w:val="none"/>
          <w:lang w:eastAsia="zh-CN"/>
        </w:rPr>
        <w:t>如更换</w:t>
      </w:r>
      <w:r>
        <w:rPr>
          <w:rFonts w:hint="eastAsia" w:ascii="宋体" w:hAnsi="宋体" w:eastAsia="宋体" w:cs="宋体"/>
          <w:snapToGrid w:val="0"/>
          <w:color w:val="auto"/>
          <w:kern w:val="0"/>
          <w:sz w:val="24"/>
          <w:szCs w:val="24"/>
          <w:highlight w:val="none"/>
          <w:lang w:val="en-US" w:eastAsia="zh-CN"/>
        </w:rPr>
        <w:t>3次以上，</w:t>
      </w:r>
      <w:r>
        <w:rPr>
          <w:rFonts w:hint="eastAsia" w:ascii="宋体" w:hAnsi="宋体" w:eastAsia="宋体" w:cs="宋体"/>
          <w:snapToGrid w:val="0"/>
          <w:color w:val="auto"/>
          <w:kern w:val="0"/>
          <w:sz w:val="24"/>
          <w:szCs w:val="24"/>
          <w:highlight w:val="none"/>
        </w:rPr>
        <w:t>总监理工程师无法胜任的，监理人应按签约合同总价</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%向委托人承担违约责任；</w:t>
      </w:r>
      <w:r>
        <w:rPr>
          <w:rFonts w:hint="eastAsia" w:ascii="宋体" w:hAnsi="宋体" w:eastAsia="宋体" w:cs="宋体"/>
          <w:snapToGrid w:val="0"/>
          <w:color w:val="auto"/>
          <w:kern w:val="0"/>
          <w:sz w:val="24"/>
          <w:szCs w:val="24"/>
          <w:highlight w:val="none"/>
          <w:lang w:eastAsia="zh-CN"/>
        </w:rPr>
        <w:t>如更换</w:t>
      </w:r>
      <w:r>
        <w:rPr>
          <w:rFonts w:hint="eastAsia" w:ascii="宋体" w:hAnsi="宋体" w:eastAsia="宋体" w:cs="宋体"/>
          <w:snapToGrid w:val="0"/>
          <w:color w:val="auto"/>
          <w:kern w:val="0"/>
          <w:sz w:val="24"/>
          <w:szCs w:val="24"/>
          <w:highlight w:val="none"/>
          <w:lang w:val="en-US" w:eastAsia="zh-CN"/>
        </w:rPr>
        <w:t>3次以上，</w:t>
      </w:r>
      <w:r>
        <w:rPr>
          <w:rFonts w:hint="eastAsia" w:ascii="宋体" w:hAnsi="宋体" w:eastAsia="宋体" w:cs="宋体"/>
          <w:snapToGrid w:val="0"/>
          <w:color w:val="auto"/>
          <w:kern w:val="0"/>
          <w:sz w:val="24"/>
          <w:szCs w:val="24"/>
          <w:highlight w:val="none"/>
        </w:rPr>
        <w:t>其他监理人员无法胜任的，监理人应按签约合同总价</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%向委托人承担违约责任。</w:t>
      </w:r>
    </w:p>
    <w:p w14:paraId="0DA32864">
      <w:pPr>
        <w:pageBreakBefore w:val="0"/>
        <w:kinsoku/>
        <w:wordWrap/>
        <w:overflowPunct/>
        <w:topLinePunct w:val="0"/>
        <w:autoSpaceDE/>
        <w:autoSpaceDN/>
        <w:bidi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总监理工程师被责令停止执业的</w:t>
      </w:r>
      <w:r>
        <w:rPr>
          <w:rFonts w:hint="eastAsia" w:ascii="宋体" w:hAnsi="宋体" w:eastAsia="宋体" w:cs="宋体"/>
          <w:snapToGrid w:val="0"/>
          <w:color w:val="auto"/>
          <w:kern w:val="0"/>
          <w:sz w:val="24"/>
          <w:szCs w:val="24"/>
          <w:highlight w:val="none"/>
          <w:lang w:eastAsia="zh-CN"/>
        </w:rPr>
        <w:t>或</w:t>
      </w:r>
      <w:r>
        <w:rPr>
          <w:rFonts w:hint="eastAsia" w:ascii="宋体" w:hAnsi="宋体" w:eastAsia="宋体" w:cs="宋体"/>
          <w:snapToGrid w:val="0"/>
          <w:color w:val="auto"/>
          <w:kern w:val="0"/>
          <w:sz w:val="24"/>
          <w:szCs w:val="24"/>
          <w:highlight w:val="none"/>
        </w:rPr>
        <w:t>资质、证件等材料造假的，监理人按签约合同价的</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%/人·次支付违约金。专业监理工程师被责令停止执业的</w:t>
      </w:r>
      <w:r>
        <w:rPr>
          <w:rFonts w:hint="eastAsia" w:ascii="宋体" w:hAnsi="宋体" w:eastAsia="宋体" w:cs="宋体"/>
          <w:snapToGrid w:val="0"/>
          <w:color w:val="auto"/>
          <w:kern w:val="0"/>
          <w:sz w:val="24"/>
          <w:szCs w:val="24"/>
          <w:highlight w:val="none"/>
          <w:lang w:eastAsia="zh-CN"/>
        </w:rPr>
        <w:t>或</w:t>
      </w:r>
      <w:r>
        <w:rPr>
          <w:rFonts w:hint="eastAsia" w:ascii="宋体" w:hAnsi="宋体" w:eastAsia="宋体" w:cs="宋体"/>
          <w:snapToGrid w:val="0"/>
          <w:color w:val="auto"/>
          <w:kern w:val="0"/>
          <w:sz w:val="24"/>
          <w:szCs w:val="24"/>
          <w:highlight w:val="none"/>
        </w:rPr>
        <w:t>资质、证件等材料造假的，监理人按签约合同价的</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%/人·次支付违约金；其他监理人员被责令停止执业的</w:t>
      </w:r>
      <w:r>
        <w:rPr>
          <w:rFonts w:hint="eastAsia" w:ascii="宋体" w:hAnsi="宋体" w:eastAsia="宋体" w:cs="宋体"/>
          <w:snapToGrid w:val="0"/>
          <w:color w:val="auto"/>
          <w:kern w:val="0"/>
          <w:sz w:val="24"/>
          <w:szCs w:val="24"/>
          <w:highlight w:val="none"/>
          <w:lang w:eastAsia="zh-CN"/>
        </w:rPr>
        <w:t>或</w:t>
      </w:r>
      <w:r>
        <w:rPr>
          <w:rFonts w:hint="eastAsia" w:ascii="宋体" w:hAnsi="宋体" w:eastAsia="宋体" w:cs="宋体"/>
          <w:snapToGrid w:val="0"/>
          <w:color w:val="auto"/>
          <w:kern w:val="0"/>
          <w:sz w:val="24"/>
          <w:szCs w:val="24"/>
          <w:highlight w:val="none"/>
        </w:rPr>
        <w:t>资质、证件等材料造假的，监理人按签约合同价的</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%/人·次支付违约金</w:t>
      </w:r>
      <w:r>
        <w:rPr>
          <w:rFonts w:hint="eastAsia" w:ascii="宋体" w:hAnsi="宋体" w:eastAsia="宋体" w:cs="宋体"/>
          <w:color w:val="auto"/>
          <w:kern w:val="0"/>
          <w:sz w:val="24"/>
          <w:szCs w:val="24"/>
          <w:highlight w:val="none"/>
          <w:u w:val="none"/>
        </w:rPr>
        <w:t>。</w:t>
      </w:r>
    </w:p>
    <w:p w14:paraId="5998783B">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9.1.1 到位情况的考核</w:t>
      </w:r>
    </w:p>
    <w:p w14:paraId="1A097099">
      <w:pPr>
        <w:pageBreakBefore w:val="0"/>
        <w:kinsoku/>
        <w:wordWrap/>
        <w:overflowPunct/>
        <w:topLinePunct w:val="0"/>
        <w:autoSpaceDE/>
        <w:autoSpaceDN/>
        <w:bidi w:val="0"/>
        <w:spacing w:line="360" w:lineRule="auto"/>
        <w:ind w:firstLine="480" w:firstLineChars="200"/>
        <w:rPr>
          <w:rFonts w:hint="eastAsia" w:ascii="宋体" w:hAnsi="宋体" w:eastAsia="宋体" w:cs="宋体"/>
          <w:bCs/>
          <w:snapToGrid w:val="0"/>
          <w:color w:val="auto"/>
          <w:kern w:val="0"/>
          <w:sz w:val="24"/>
          <w:szCs w:val="24"/>
          <w:highlight w:val="none"/>
          <w:lang w:val="zh-CN" w:bidi="zh-CN"/>
        </w:rPr>
      </w:pPr>
      <w:r>
        <w:rPr>
          <w:rFonts w:hint="eastAsia" w:ascii="宋体" w:hAnsi="宋体" w:eastAsia="宋体" w:cs="宋体"/>
          <w:snapToGrid w:val="0"/>
          <w:color w:val="auto"/>
          <w:kern w:val="0"/>
          <w:sz w:val="24"/>
          <w:szCs w:val="24"/>
          <w:highlight w:val="none"/>
        </w:rPr>
        <w:t>（1）总监理工程师每月在现场时间</w:t>
      </w:r>
      <w:r>
        <w:rPr>
          <w:rFonts w:hint="eastAsia" w:ascii="宋体" w:hAnsi="宋体" w:eastAsia="宋体" w:cs="宋体"/>
          <w:snapToGrid w:val="0"/>
          <w:color w:val="auto"/>
          <w:kern w:val="0"/>
          <w:sz w:val="24"/>
          <w:szCs w:val="24"/>
          <w:highlight w:val="none"/>
          <w:lang w:val="en-US" w:eastAsia="zh-CN"/>
        </w:rPr>
        <w:t>每周不低于4天</w:t>
      </w:r>
      <w:r>
        <w:rPr>
          <w:rFonts w:hint="eastAsia" w:ascii="宋体" w:hAnsi="宋体" w:eastAsia="宋体" w:cs="宋体"/>
          <w:snapToGrid w:val="0"/>
          <w:color w:val="auto"/>
          <w:kern w:val="0"/>
          <w:sz w:val="24"/>
          <w:szCs w:val="24"/>
          <w:highlight w:val="none"/>
        </w:rPr>
        <w:t>，每天不低于8小时。委托人根据项目实际情况要求总监增加每月在现场时间的，监理人应无条件执行，且监理费用不予增加。其余根据委托人要求到场，专业监理工程师及监理员每个月平均到岗天数不低于22天。</w:t>
      </w:r>
    </w:p>
    <w:p w14:paraId="6A2BF426">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监理人实际派驻现场的总监理工程师和主要监理人员必须和投标函中拟投入本项目监理人员汇总表提供的名单一致，不得随意更换。监理人任何时期更换本项目监理人员，均需征得委托人书面同意，且应按合同约定承担相应违约责任，因第9.1.1项之（3）的情形更换的除外。</w:t>
      </w:r>
    </w:p>
    <w:p w14:paraId="58B5A90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总监理工程师全合同周期不允许更换，否则监理人承担以下违约责任；其他监理人员全合同周期只允许更换一次，且更换应当承担以下违约责任。未经委托人允许擅自更换总监理工程师、专业监理工程师及其他监理人员的，监理人应按以下标准承担违约责任：</w:t>
      </w:r>
    </w:p>
    <w:p w14:paraId="7677BB9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①更换总监理工程师，</w:t>
      </w:r>
      <w:r>
        <w:rPr>
          <w:rFonts w:hint="eastAsia" w:ascii="宋体" w:hAnsi="宋体" w:eastAsia="宋体" w:cs="宋体"/>
          <w:snapToGrid w:val="0"/>
          <w:color w:val="auto"/>
          <w:kern w:val="0"/>
          <w:sz w:val="24"/>
          <w:szCs w:val="24"/>
          <w:highlight w:val="none"/>
          <w:lang w:val="en-US" w:eastAsia="zh-CN"/>
        </w:rPr>
        <w:t>承担1</w:t>
      </w:r>
      <w:r>
        <w:rPr>
          <w:rFonts w:hint="eastAsia" w:ascii="宋体" w:hAnsi="宋体" w:eastAsia="宋体" w:cs="宋体"/>
          <w:snapToGrid w:val="0"/>
          <w:color w:val="auto"/>
          <w:kern w:val="0"/>
          <w:sz w:val="24"/>
          <w:szCs w:val="24"/>
          <w:highlight w:val="none"/>
        </w:rPr>
        <w:t>万元以下的违约责任；</w:t>
      </w:r>
    </w:p>
    <w:p w14:paraId="2F6CAD2E">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②更换专业监理工程师，</w:t>
      </w:r>
      <w:r>
        <w:rPr>
          <w:rFonts w:hint="eastAsia" w:ascii="宋体" w:hAnsi="宋体" w:eastAsia="宋体" w:cs="宋体"/>
          <w:snapToGrid w:val="0"/>
          <w:color w:val="auto"/>
          <w:kern w:val="0"/>
          <w:sz w:val="24"/>
          <w:szCs w:val="24"/>
          <w:highlight w:val="none"/>
          <w:lang w:val="en-US" w:eastAsia="zh-CN"/>
        </w:rPr>
        <w:t>承担0.5</w:t>
      </w:r>
      <w:r>
        <w:rPr>
          <w:rFonts w:hint="eastAsia" w:ascii="宋体" w:hAnsi="宋体" w:eastAsia="宋体" w:cs="宋体"/>
          <w:snapToGrid w:val="0"/>
          <w:color w:val="auto"/>
          <w:kern w:val="0"/>
          <w:sz w:val="24"/>
          <w:szCs w:val="24"/>
          <w:highlight w:val="none"/>
        </w:rPr>
        <w:t>万元以下的违约责任；</w:t>
      </w:r>
    </w:p>
    <w:p w14:paraId="51DF574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③更换监理员，</w:t>
      </w:r>
      <w:r>
        <w:rPr>
          <w:rFonts w:hint="eastAsia" w:ascii="宋体" w:hAnsi="宋体" w:eastAsia="宋体" w:cs="宋体"/>
          <w:snapToGrid w:val="0"/>
          <w:color w:val="auto"/>
          <w:kern w:val="0"/>
          <w:sz w:val="24"/>
          <w:szCs w:val="24"/>
          <w:highlight w:val="none"/>
          <w:lang w:val="en-US" w:eastAsia="zh-CN"/>
        </w:rPr>
        <w:t>承担0.2</w:t>
      </w:r>
      <w:r>
        <w:rPr>
          <w:rFonts w:hint="eastAsia" w:ascii="宋体" w:hAnsi="宋体" w:eastAsia="宋体" w:cs="宋体"/>
          <w:snapToGrid w:val="0"/>
          <w:color w:val="auto"/>
          <w:kern w:val="0"/>
          <w:sz w:val="24"/>
          <w:szCs w:val="24"/>
          <w:highlight w:val="none"/>
        </w:rPr>
        <w:t>万元以下的违约责任；</w:t>
      </w:r>
    </w:p>
    <w:p w14:paraId="44A8C466">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④派驻施工现场的</w:t>
      </w:r>
      <w:r>
        <w:rPr>
          <w:rFonts w:hint="eastAsia" w:ascii="宋体" w:hAnsi="宋体" w:eastAsia="宋体" w:cs="宋体"/>
          <w:snapToGrid w:val="0"/>
          <w:color w:val="auto"/>
          <w:kern w:val="0"/>
          <w:sz w:val="24"/>
          <w:szCs w:val="24"/>
          <w:highlight w:val="none"/>
          <w:lang w:val="en-US" w:eastAsia="zh-CN"/>
        </w:rPr>
        <w:t>专业</w:t>
      </w:r>
      <w:r>
        <w:rPr>
          <w:rFonts w:hint="eastAsia" w:ascii="宋体" w:hAnsi="宋体" w:eastAsia="宋体" w:cs="宋体"/>
          <w:snapToGrid w:val="0"/>
          <w:color w:val="auto"/>
          <w:kern w:val="0"/>
          <w:sz w:val="24"/>
          <w:szCs w:val="24"/>
          <w:highlight w:val="none"/>
        </w:rPr>
        <w:t>监理人员在施工期间必须常驻施工现场（无论是白天或者夜晚，只要</w:t>
      </w:r>
      <w:r>
        <w:rPr>
          <w:rFonts w:hint="eastAsia" w:ascii="宋体" w:hAnsi="宋体" w:eastAsia="宋体" w:cs="宋体"/>
          <w:snapToGrid w:val="0"/>
          <w:color w:val="auto"/>
          <w:kern w:val="0"/>
          <w:sz w:val="24"/>
          <w:szCs w:val="24"/>
          <w:highlight w:val="none"/>
          <w:lang w:eastAsia="zh-CN"/>
        </w:rPr>
        <w:t>涉及</w:t>
      </w:r>
      <w:r>
        <w:rPr>
          <w:rFonts w:hint="eastAsia" w:ascii="宋体" w:hAnsi="宋体" w:eastAsia="宋体" w:cs="宋体"/>
          <w:snapToGrid w:val="0"/>
          <w:color w:val="auto"/>
          <w:kern w:val="0"/>
          <w:sz w:val="24"/>
          <w:szCs w:val="24"/>
          <w:highlight w:val="none"/>
          <w:lang w:val="en-US" w:eastAsia="zh-CN"/>
        </w:rPr>
        <w:t>必须</w:t>
      </w:r>
      <w:r>
        <w:rPr>
          <w:rFonts w:hint="eastAsia" w:ascii="宋体" w:hAnsi="宋体" w:eastAsia="宋体" w:cs="宋体"/>
          <w:snapToGrid w:val="0"/>
          <w:color w:val="auto"/>
          <w:kern w:val="0"/>
          <w:sz w:val="24"/>
          <w:szCs w:val="24"/>
          <w:highlight w:val="none"/>
        </w:rPr>
        <w:t>监理人在场的</w:t>
      </w:r>
      <w:r>
        <w:rPr>
          <w:rFonts w:hint="eastAsia" w:ascii="宋体" w:hAnsi="宋体" w:eastAsia="宋体" w:cs="宋体"/>
          <w:snapToGrid w:val="0"/>
          <w:color w:val="auto"/>
          <w:kern w:val="0"/>
          <w:sz w:val="24"/>
          <w:szCs w:val="24"/>
          <w:highlight w:val="none"/>
          <w:lang w:val="en-US" w:eastAsia="zh-CN"/>
        </w:rPr>
        <w:t>但未有监理人员在场</w:t>
      </w:r>
      <w:r>
        <w:rPr>
          <w:rFonts w:hint="eastAsia" w:ascii="宋体" w:hAnsi="宋体" w:eastAsia="宋体" w:cs="宋体"/>
          <w:snapToGrid w:val="0"/>
          <w:color w:val="auto"/>
          <w:kern w:val="0"/>
          <w:sz w:val="24"/>
          <w:szCs w:val="24"/>
          <w:highlight w:val="none"/>
        </w:rPr>
        <w:t>），否则应承担违约金</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0</w:t>
      </w:r>
      <w:r>
        <w:rPr>
          <w:rFonts w:hint="eastAsia" w:ascii="宋体" w:hAnsi="宋体" w:eastAsia="宋体" w:cs="宋体"/>
          <w:snapToGrid w:val="0"/>
          <w:color w:val="auto"/>
          <w:kern w:val="0"/>
          <w:sz w:val="24"/>
          <w:szCs w:val="24"/>
          <w:highlight w:val="none"/>
          <w:lang w:val="en-US" w:eastAsia="zh-CN"/>
        </w:rPr>
        <w:t>00</w:t>
      </w:r>
      <w:r>
        <w:rPr>
          <w:rFonts w:hint="eastAsia" w:ascii="宋体" w:hAnsi="宋体" w:eastAsia="宋体" w:cs="宋体"/>
          <w:snapToGrid w:val="0"/>
          <w:color w:val="auto"/>
          <w:kern w:val="0"/>
          <w:sz w:val="24"/>
          <w:szCs w:val="24"/>
          <w:highlight w:val="none"/>
        </w:rPr>
        <w:t>元/人·天；</w:t>
      </w:r>
    </w:p>
    <w:p w14:paraId="1AFE46CE">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⑤无论工作日或节假日，监理人必须安排足够的在岗监理人员以确保工程施工的正常进行，如因监理人员不足影响施工进行，应承担违约金</w:t>
      </w:r>
      <w:r>
        <w:rPr>
          <w:rFonts w:hint="eastAsia" w:ascii="宋体" w:hAnsi="宋体" w:eastAsia="宋体" w:cs="宋体"/>
          <w:snapToGrid w:val="0"/>
          <w:color w:val="auto"/>
          <w:kern w:val="0"/>
          <w:sz w:val="24"/>
          <w:szCs w:val="24"/>
          <w:highlight w:val="none"/>
          <w:lang w:val="en-US" w:eastAsia="zh-CN"/>
        </w:rPr>
        <w:t>500</w:t>
      </w:r>
      <w:r>
        <w:rPr>
          <w:rFonts w:hint="eastAsia" w:ascii="宋体" w:hAnsi="宋体" w:eastAsia="宋体" w:cs="宋体"/>
          <w:snapToGrid w:val="0"/>
          <w:color w:val="auto"/>
          <w:kern w:val="0"/>
          <w:sz w:val="24"/>
          <w:szCs w:val="24"/>
          <w:highlight w:val="none"/>
        </w:rPr>
        <w:t>元／次；</w:t>
      </w:r>
    </w:p>
    <w:p w14:paraId="78F6E22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⑥前述考核要求对监理期延期同样适用。</w:t>
      </w:r>
    </w:p>
    <w:p w14:paraId="64E2CD01">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（3）监理人非以下列原因更换班子成员，需征得委托人书面同意，并按前述第9.1.1项之（2）的规定，承担更换的违约责任，且更换后人员的资格、职称及执业水平均不得低于被更换人员：</w:t>
      </w:r>
    </w:p>
    <w:p w14:paraId="2B9E67BB">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①死亡； </w:t>
      </w:r>
    </w:p>
    <w:p w14:paraId="37FF50B3">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②非监理人原因导致工期延长，而致使总监理工程师</w:t>
      </w:r>
      <w:r>
        <w:rPr>
          <w:rFonts w:hint="eastAsia" w:ascii="宋体" w:hAnsi="宋体" w:eastAsia="宋体" w:cs="宋体"/>
          <w:snapToGrid w:val="0"/>
          <w:color w:val="auto"/>
          <w:kern w:val="0"/>
          <w:sz w:val="24"/>
          <w:szCs w:val="24"/>
          <w:highlight w:val="none"/>
          <w:lang w:eastAsia="zh-CN"/>
        </w:rPr>
        <w:t>及其他</w:t>
      </w:r>
      <w:r>
        <w:rPr>
          <w:rFonts w:hint="eastAsia" w:ascii="宋体" w:hAnsi="宋体" w:eastAsia="宋体" w:cs="宋体"/>
          <w:snapToGrid w:val="0"/>
          <w:color w:val="auto"/>
          <w:kern w:val="0"/>
          <w:sz w:val="24"/>
          <w:szCs w:val="24"/>
          <w:highlight w:val="none"/>
        </w:rPr>
        <w:t xml:space="preserve">拟派人员达到法定退休年龄且确需退休； </w:t>
      </w:r>
    </w:p>
    <w:p w14:paraId="65458144">
      <w:pPr>
        <w:pageBreakBefore w:val="0"/>
        <w:kinsoku/>
        <w:wordWrap/>
        <w:overflowPunct/>
        <w:topLinePunct w:val="0"/>
        <w:autoSpaceDE/>
        <w:autoSpaceDN/>
        <w:bidi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③按《职工非因工伤残或因病丧失劳动能力程度鉴定标准（试行）》规定鉴定为完全丧失劳动能力和大部分丧失劳动能力；</w:t>
      </w:r>
      <w:r>
        <w:rPr>
          <w:rFonts w:hint="eastAsia" w:ascii="宋体" w:hAnsi="宋体" w:eastAsia="宋体" w:cs="宋体"/>
          <w:color w:val="auto"/>
          <w:sz w:val="24"/>
          <w:szCs w:val="24"/>
          <w:highlight w:val="none"/>
        </w:rPr>
        <w:t>或重大疾病需要入院卧床治疗一月以上的，需提供由发包人同意的三甲医院出具的诊断证明；</w:t>
      </w:r>
      <w:r>
        <w:rPr>
          <w:rFonts w:hint="eastAsia" w:ascii="宋体" w:hAnsi="宋体" w:eastAsia="宋体" w:cs="宋体"/>
          <w:snapToGrid w:val="0"/>
          <w:color w:val="auto"/>
          <w:kern w:val="0"/>
          <w:sz w:val="24"/>
          <w:szCs w:val="24"/>
          <w:highlight w:val="none"/>
        </w:rPr>
        <w:t xml:space="preserve"> </w:t>
      </w:r>
    </w:p>
    <w:p w14:paraId="284D401C">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④非监理人原因导致中标后</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 xml:space="preserve">个月不能开工的； </w:t>
      </w:r>
    </w:p>
    <w:p w14:paraId="7E7023BE">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⑤非因违法违规，被公安或者司法机关限制人身自由； </w:t>
      </w:r>
    </w:p>
    <w:p w14:paraId="035C12D7">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⑥非监理人原因导致确需变更</w:t>
      </w:r>
      <w:r>
        <w:rPr>
          <w:rFonts w:hint="eastAsia" w:ascii="宋体" w:hAnsi="宋体" w:eastAsia="宋体" w:cs="宋体"/>
          <w:snapToGrid w:val="0"/>
          <w:color w:val="auto"/>
          <w:kern w:val="0"/>
          <w:sz w:val="24"/>
          <w:szCs w:val="24"/>
          <w:highlight w:val="none"/>
          <w:lang w:eastAsia="zh-CN"/>
        </w:rPr>
        <w:t>的其他情形</w:t>
      </w:r>
      <w:r>
        <w:rPr>
          <w:rFonts w:hint="eastAsia" w:ascii="宋体" w:hAnsi="宋体" w:eastAsia="宋体" w:cs="宋体"/>
          <w:snapToGrid w:val="0"/>
          <w:color w:val="auto"/>
          <w:kern w:val="0"/>
          <w:sz w:val="24"/>
          <w:szCs w:val="24"/>
          <w:highlight w:val="none"/>
        </w:rPr>
        <w:t xml:space="preserve">。 </w:t>
      </w:r>
    </w:p>
    <w:p w14:paraId="13A842EB">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（4）监理人应确保委派的监理人员队伍的稳定性，监理人员离职或被辞退的，不属于前述第9.1.1项之（3）规定的监理人不承担违约责任的范围，监理人仍应按前述第9.1.1项之（1）、（2）的规定承担违约责任。</w:t>
      </w:r>
    </w:p>
    <w:p w14:paraId="0149758F">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（5）所有派驻监理人员均为专职人员，不得兼职。 </w:t>
      </w:r>
    </w:p>
    <w:p w14:paraId="15E7D91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（6）监理人接到委托人通知参加项目工地见面会的，监理人总监理工程师、其他监理人员应参加由委托人组织的见面会。监理人参会人员应与</w:t>
      </w:r>
      <w:r>
        <w:rPr>
          <w:rFonts w:hint="eastAsia" w:ascii="宋体" w:hAnsi="宋体" w:eastAsia="宋体" w:cs="宋体"/>
          <w:snapToGrid w:val="0"/>
          <w:color w:val="auto"/>
          <w:kern w:val="0"/>
          <w:sz w:val="24"/>
          <w:szCs w:val="24"/>
          <w:highlight w:val="none"/>
          <w:lang w:val="en-US" w:eastAsia="zh-CN"/>
        </w:rPr>
        <w:t>合同备案</w:t>
      </w:r>
      <w:r>
        <w:rPr>
          <w:rFonts w:hint="eastAsia" w:ascii="宋体" w:hAnsi="宋体" w:eastAsia="宋体" w:cs="宋体"/>
          <w:snapToGrid w:val="0"/>
          <w:color w:val="auto"/>
          <w:kern w:val="0"/>
          <w:sz w:val="24"/>
          <w:szCs w:val="24"/>
          <w:highlight w:val="none"/>
        </w:rPr>
        <w:t xml:space="preserve">人员名单一致。监理人总监理工程师缺席的，应向委托人支付违约金 </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 xml:space="preserve">00元/人；其他项目管理人员缺席的，应向委托人支付违约金 </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00元/人。</w:t>
      </w:r>
    </w:p>
    <w:p w14:paraId="59A6E1D2">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（7）监理人员到位时间考核：</w:t>
      </w:r>
    </w:p>
    <w:p w14:paraId="43A10E98">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①总监到位时间的考核： </w:t>
      </w:r>
    </w:p>
    <w:p w14:paraId="6F36589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考核项目：到委托人指定设备和方式考核。 </w:t>
      </w:r>
    </w:p>
    <w:p w14:paraId="39C7B4C6">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考核办法：总监每周在工程现场的监理时间</w:t>
      </w:r>
      <w:r>
        <w:rPr>
          <w:rFonts w:hint="eastAsia" w:ascii="宋体" w:hAnsi="宋体" w:eastAsia="宋体" w:cs="宋体"/>
          <w:snapToGrid w:val="0"/>
          <w:color w:val="auto"/>
          <w:kern w:val="0"/>
          <w:sz w:val="24"/>
          <w:szCs w:val="24"/>
          <w:highlight w:val="none"/>
          <w:lang w:val="en-US" w:eastAsia="zh-CN"/>
        </w:rPr>
        <w:t>每周</w:t>
      </w:r>
      <w:r>
        <w:rPr>
          <w:rFonts w:hint="eastAsia" w:ascii="宋体" w:hAnsi="宋体" w:eastAsia="宋体" w:cs="宋体"/>
          <w:snapToGrid w:val="0"/>
          <w:color w:val="auto"/>
          <w:kern w:val="0"/>
          <w:sz w:val="24"/>
          <w:szCs w:val="24"/>
          <w:highlight w:val="none"/>
        </w:rPr>
        <w:t>不少于</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 xml:space="preserve">天，每天在工程现场的监理时间不低于 8 小时。每缺勤一天按合同附件二《安全文明施工违约附录》处罚。 </w:t>
      </w:r>
    </w:p>
    <w:p w14:paraId="42456DA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②现场其他监理人员到位情况考核： </w:t>
      </w:r>
    </w:p>
    <w:p w14:paraId="4753A9B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考核项目：到委托人指定设备和方式考核。 </w:t>
      </w:r>
    </w:p>
    <w:p w14:paraId="32FE201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考核办法：总监代表（如有） 、专监、监理员每周在工程现场的监理时间不少于 5 天，每月不少于22天，每天在工程现场的监理（工作）时间不低于 8 小时。每缺勤一天按合同附件二《安全文明施工违约附录》处罚。</w:t>
      </w:r>
    </w:p>
    <w:p w14:paraId="1EC70508">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③说明： </w:t>
      </w:r>
    </w:p>
    <w:p w14:paraId="60B02A42">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1）每天工作时间在 </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小时（含）到</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小时之间的，则当天的出勤算半天；每天工作时间少于</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 xml:space="preserve">小时的，则当天的出勤算缺勤。经委托人审批同意请假的除外。 </w:t>
      </w:r>
    </w:p>
    <w:p w14:paraId="0AA8593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2）该考核办法对监理期延期同样适用。 </w:t>
      </w:r>
    </w:p>
    <w:p w14:paraId="4B0F3A2C">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3）节假日期间项目正常推进的，须保证每天到岗人数满足现场施工管理需要。 </w:t>
      </w:r>
    </w:p>
    <w:p w14:paraId="2C14A91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4）监理人应按委托人要求参加相关会议，如未到场视为缺勤。 </w:t>
      </w:r>
    </w:p>
    <w:p w14:paraId="0F85B8C8">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9.1.2 廉政行为和服务质量的考核</w:t>
      </w:r>
    </w:p>
    <w:p w14:paraId="06746BDB">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yellow"/>
        </w:rPr>
      </w:pPr>
      <w:r>
        <w:rPr>
          <w:rFonts w:hint="eastAsia" w:ascii="宋体" w:hAnsi="宋体" w:eastAsia="宋体" w:cs="宋体"/>
          <w:snapToGrid w:val="0"/>
          <w:color w:val="auto"/>
          <w:kern w:val="0"/>
          <w:sz w:val="24"/>
          <w:szCs w:val="24"/>
          <w:highlight w:val="none"/>
        </w:rPr>
        <w:t>（1） 监理人及其工作人员不得与施工单位或材料供应商联合作假， 如收方、验收，提供虚假资料，收受好处或提成。考核办法：反映情况属实，监理人除了退还所收物品外，还要接受委托人的处罚。即：第一次发现，应承担违约金 500元；第二次发现，应承担违约金 1000元。累计发现5次及以上的，要求监理人承担合同暂定总金额</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%的违约金，并追究监理人的罚责任和违约责任，且委托人还有权解除合同。</w:t>
      </w:r>
    </w:p>
    <w:p w14:paraId="41E98B59">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（2）监理人必须 24 小时有监理人员在施工现场，夜间有专职人员值班。考核办法：监理人不在位情况，委托人发现一次计监理人违约一次。两次以内，罚金按 </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00 元／次进行；第三次开始，发现一次按罚金 </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00 元／次进行。累计次数达到五次，要求监理人承担合同暂定总金额</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%的违约金，并追究监理人的罚责任和违约责任，且委托人还有权解除合同。</w:t>
      </w:r>
    </w:p>
    <w:p w14:paraId="418F2156">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（3）检查验收工作必须在接到施工单位报验通知</w:t>
      </w:r>
      <w:r>
        <w:rPr>
          <w:rFonts w:hint="eastAsia" w:ascii="宋体" w:hAnsi="宋体" w:eastAsia="宋体" w:cs="宋体"/>
          <w:snapToGrid w:val="0"/>
          <w:color w:val="auto"/>
          <w:kern w:val="0"/>
          <w:sz w:val="24"/>
          <w:szCs w:val="24"/>
          <w:highlight w:val="none"/>
          <w:lang w:val="en-US" w:eastAsia="zh-CN"/>
        </w:rPr>
        <w:t>8</w:t>
      </w:r>
      <w:r>
        <w:rPr>
          <w:rFonts w:hint="eastAsia" w:ascii="宋体" w:hAnsi="宋体" w:eastAsia="宋体" w:cs="宋体"/>
          <w:snapToGrid w:val="0"/>
          <w:color w:val="auto"/>
          <w:kern w:val="0"/>
          <w:sz w:val="24"/>
          <w:szCs w:val="24"/>
          <w:highlight w:val="none"/>
        </w:rPr>
        <w:t>小时以内或接到委托人要求验收的通知</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 xml:space="preserve">小时内（夜间 </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 xml:space="preserve">小时以内），派专业监理工程师进行验收。考核办法：监理人保证绝对配合。出现以上不配合情况，发生一次计监理人违约一次。即：第一次发生，应承担违约金 </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00 元；第二次发生，应承担违约金 </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 xml:space="preserve">00 元，总监和相关人员写出检查；监理人公司跟踪该项目的负责人和总监写出书面检查和保证措施，清退相关人员出场；第三次发生，应承担违约金 </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00 元。第三次之后应承担违约金</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00元。累计次数达到五次，要求监理人承担合同暂定总金额</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%的违约金，并追究监理人的罚责任和违约责任，且委托人还有权解除合同。</w:t>
      </w:r>
    </w:p>
    <w:p w14:paraId="0E69E7C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yellow"/>
        </w:rPr>
      </w:pPr>
      <w:r>
        <w:rPr>
          <w:rFonts w:hint="eastAsia" w:ascii="宋体" w:hAnsi="宋体" w:eastAsia="宋体" w:cs="宋体"/>
          <w:snapToGrid w:val="0"/>
          <w:color w:val="auto"/>
          <w:kern w:val="0"/>
          <w:sz w:val="24"/>
          <w:szCs w:val="24"/>
          <w:highlight w:val="none"/>
        </w:rPr>
        <w:t>（4） 监理人现场主要监理人员（即总监、专业监理工程师） 上班时间因故离开现场将达 3 小时以上的情况，应与委托人现场代表协商，不影响监理工作。考核办法：监理人出现上述离开现场不通报委托人现场代表的情况，发生一次计监理人违约一次。即：第一次发生，警告，并应承担违约金</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00元；第二次发生，总监和相关人员写出检查，并应承担违约金</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 xml:space="preserve">00元；第三次发生，监理人公司跟踪该项目的负责人和总监写出书面检查和保证措施，并应承担违约金 </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 xml:space="preserve">00 元，清退相关人员出场；第四次开始，应承担违约金 </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000 元／次；累计次数达到五次，要求监理人承担合同暂定总金额</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%的违约金，并追究监理人的罚责任和违约责任，且委托人还有权解除合同。</w:t>
      </w:r>
    </w:p>
    <w:p w14:paraId="2DD9CF6B">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（5）监理人各派驻现场人员必须做好详细的《 监理日志》（监理日志必须由总监审查并签字） 、《监理周报》和《监理月报》（每期监理周报必须附上不少于 10 张关 键部位施工情况的图片资料）。委托人不定期对《监理日志》进行检查， 如发现</w:t>
      </w:r>
      <w:r>
        <w:rPr>
          <w:rFonts w:hint="eastAsia" w:ascii="宋体" w:hAnsi="宋体" w:eastAsia="宋体" w:cs="宋体"/>
          <w:snapToGrid w:val="0"/>
          <w:color w:val="auto"/>
          <w:kern w:val="0"/>
          <w:sz w:val="24"/>
          <w:szCs w:val="24"/>
          <w:highlight w:val="none"/>
          <w:lang w:eastAsia="zh-CN"/>
        </w:rPr>
        <w:t>监理人</w:t>
      </w:r>
      <w:r>
        <w:rPr>
          <w:rFonts w:hint="eastAsia" w:ascii="宋体" w:hAnsi="宋体" w:eastAsia="宋体" w:cs="宋体"/>
          <w:snapToGrid w:val="0"/>
          <w:color w:val="auto"/>
          <w:kern w:val="0"/>
          <w:sz w:val="24"/>
          <w:szCs w:val="24"/>
          <w:highlight w:val="none"/>
        </w:rPr>
        <w:t xml:space="preserve">员记录情况不准确或记录情况简单，没有真实的反映出现场施工概况，发现一次计监理人违约一次，罚金按 </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00 元／次执行；第二次发生，应承担违约金</w:t>
      </w: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00元；第三次发生，应承担违约金</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00元；第四次发生，应承担违约金1000元；累计次数达到五次，要求监理人承担合同暂定总金额</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%的违约金，并追究监理人的罚责任和违约责任，且委托人还有权解除合同。</w:t>
      </w:r>
    </w:p>
    <w:p w14:paraId="11869186">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yellow"/>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 xml:space="preserve">） 监理人专职负责该工程的工程部负责人和工作小组每周到场参加一次监理例会，每月到现场巡查工作次数不少于 5 次。若监理人出现缺勤一次计监理人违约一次，罚金按 </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00元／次执行；第二次发生，应承担违约金</w:t>
      </w:r>
      <w:r>
        <w:rPr>
          <w:rFonts w:hint="eastAsia" w:ascii="宋体" w:hAnsi="宋体" w:eastAsia="宋体" w:cs="宋体"/>
          <w:snapToGrid w:val="0"/>
          <w:color w:val="auto"/>
          <w:kern w:val="0"/>
          <w:sz w:val="24"/>
          <w:szCs w:val="24"/>
          <w:highlight w:val="none"/>
          <w:lang w:val="en-US" w:eastAsia="zh-CN"/>
        </w:rPr>
        <w:t>40</w:t>
      </w:r>
      <w:r>
        <w:rPr>
          <w:rFonts w:hint="eastAsia" w:ascii="宋体" w:hAnsi="宋体" w:eastAsia="宋体" w:cs="宋体"/>
          <w:snapToGrid w:val="0"/>
          <w:color w:val="auto"/>
          <w:kern w:val="0"/>
          <w:sz w:val="24"/>
          <w:szCs w:val="24"/>
          <w:highlight w:val="none"/>
        </w:rPr>
        <w:t>0元；第三次发生，应承担违约金</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00元；累计次数达到四次，要求监理人承担合同暂定总金额</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%的违约金，并追究监理人的罚责任和违约责任，且委托人还有权解除合同。</w:t>
      </w:r>
    </w:p>
    <w:p w14:paraId="4097A2E2">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）监理人在监理过程中未发现工程承包单位关于安全、质量、进度或合同等各方面的履行职责不力的情况，委托人在巡查、日常检查或视察等工作中，每发现工程承包单位出现一次，监理人按200元-100</w:t>
      </w:r>
      <w:r>
        <w:rPr>
          <w:rFonts w:hint="eastAsia" w:ascii="宋体" w:hAnsi="宋体" w:eastAsia="宋体" w:cs="宋体"/>
          <w:snapToGrid w:val="0"/>
          <w:color w:val="auto"/>
          <w:kern w:val="0"/>
          <w:sz w:val="24"/>
          <w:szCs w:val="24"/>
          <w:highlight w:val="none"/>
          <w:lang w:val="en-US" w:eastAsia="zh-CN"/>
        </w:rPr>
        <w:t>0</w:t>
      </w:r>
      <w:r>
        <w:rPr>
          <w:rFonts w:hint="eastAsia" w:ascii="宋体" w:hAnsi="宋体" w:eastAsia="宋体" w:cs="宋体"/>
          <w:snapToGrid w:val="0"/>
          <w:color w:val="auto"/>
          <w:kern w:val="0"/>
          <w:sz w:val="24"/>
          <w:szCs w:val="24"/>
          <w:highlight w:val="none"/>
        </w:rPr>
        <w:t>元向委托人承担违约责任，具体金额以委托人项目实施中处罚的金额为准，监理人对应承担违约金额不持异议，无条件执行。</w:t>
      </w:r>
    </w:p>
    <w:p w14:paraId="2B0AA94F">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9.1.3 现场监理工作的考核</w:t>
      </w:r>
    </w:p>
    <w:p w14:paraId="64FD8126">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（1）质量方面</w:t>
      </w:r>
    </w:p>
    <w:p w14:paraId="3D9124E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监理人必须跟踪监理到位，发现问题及时纠正，并及时通报委托人。本工程的任何质量问题， 监理人必须负责。现场出现一般质量问题。委托人根据一般质量问题发生的原因，对监理人处以 </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00-</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 xml:space="preserve">000元/次不等的违约金；现场出现比较严重的质量问题，委托人对监理人处以 </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00-1000元/次的违约金。 重要结构施工工艺，如出现在现场以外加工制作的情况，监理人必须派专业监理工程师在加工场跟班监理，完全要保证产品质量，如委托人发现监理人没有派专业跟班或没有人在加工场跟班监理，发现一次计监理人违约一次，罚金按 100元／次的标准执行。因监理人违约导致本工程出现任何一 般质量问题并造成损失的，委托人除收取罚金外，没收履约保证金，并要求监理人承担其造成的损失。因监理人违约导致本工程出现较大缺陷、较大问题、重大结构安全问题的，委托人除收取罚金外，要求监理人赔偿损失并承担本合同 4.1 条约定的违约金。另委托人有权解除合同</w:t>
      </w:r>
    </w:p>
    <w:p w14:paraId="45E84DA1">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 各专业监理工程师必须亲手量测各分部分项质量验收详细数据资料， 在验收前形成评定报告报送委托人。如监理人在各分部分项质量验收前未亲手量测或量测数据不准确或未形成评定报告交委托人，按监理人违约处理，罚金按 100 元／次执行；累计次数达到五次，要求监理人承担合同暂定总金额</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的违约金并追究监理人的罚责任和违约责任，且委托人还有权解除合同。</w:t>
      </w:r>
    </w:p>
    <w:p w14:paraId="13B1032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 监理人采用旁站、平行抽检、见证送检等监理手段对工程实体质量进行严格控制，如应对进 场原材料的品质、储存等进行认真检查，填写原材料进场记录，杜绝不合格材料进场。如发现不合格材料已进场，必须对承包人发出书面限期整改工作指令，并严格监督执行，否则监理人将负连带责任，对监理人应承担违约金 100元／次；第三次发生，应承担违约金 200 元。第三次之后应承担违约金500元。累计次数达到五次，要求监理人承担合同暂定总金额</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的违约金，并追究监理人的罚责任和违约责任，且委托人还有权解除合同。</w:t>
      </w:r>
    </w:p>
    <w:p w14:paraId="5697B18D">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③ 监理工程师应对承包人提交的施工方案认真进行审核，并提出审核意见，如方案中有较大缺陷或存在较大问题而监理工程师未指出来，对监理人应承担违约金 1000元／次</w:t>
      </w:r>
      <w:r>
        <w:rPr>
          <w:rFonts w:hint="eastAsia" w:ascii="宋体" w:hAnsi="宋体" w:eastAsia="宋体" w:cs="宋体"/>
          <w:snapToGrid w:val="0"/>
          <w:color w:val="auto"/>
          <w:kern w:val="0"/>
          <w:sz w:val="24"/>
          <w:szCs w:val="24"/>
          <w:highlight w:val="none"/>
          <w:lang w:eastAsia="zh-CN"/>
        </w:rPr>
        <w:t>。</w:t>
      </w:r>
    </w:p>
    <w:p w14:paraId="008415F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④ 如委托人或质检站在检查承包人工作时发现质量、安全、进度、投资控制等问题，而监理工程师没有做出相应处理措 施，视为监理人处理不力，一般性的问题对监理人应承担违约金 100元／次，重大问题（如重大安全、质量问题等）对监理人应承担违约金 1000元／次。</w:t>
      </w:r>
    </w:p>
    <w:p w14:paraId="78C4BAC8">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⑤ 监理人员需按照规定频率进行抽检并做好记录，如抽检频率达不到要求，应承担违约金 100 元／次。如未做好抽检记录，应承担违约金 200元／次。累计次数达到五次，要求监理人承担合同暂定总金额</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%的违约金，并追究监理人的罚责任和违约责任，且委托人还有权解除合同。</w:t>
      </w:r>
    </w:p>
    <w:p w14:paraId="12C6075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⑥ 监理人在计量收方时， 除非收方工程内容发生变更， 否则监理人在收方时须严格按照施工图工程量进行收方。同时，监理人在计量收方时需保证计量收方的有效性和时效性。即：必须由委托人指定的工程师签字，该计量收方资料才有效；同时保证在委托人要求施工单位提交计量资料日期前才有效。否则，该计量收方资料委托人不予认可。</w:t>
      </w:r>
    </w:p>
    <w:p w14:paraId="645910F7">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⑦监理人在通知委托人相关人员收方计量时，应确保收方部分已达到收方条件，如委托人相关人员收方时发现收方部分未达到收方条件的，监理人按1000元/次向委托人承担违约责任。</w:t>
      </w:r>
    </w:p>
    <w:p w14:paraId="015D9C3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⑧监理人应督促施工单位按委托人提供的图纸施工，如委托人发现施工单位未按委托人提供的图纸施工（涉及图纸变更的，监理人应及时上报委托人及委托人现场代表，未办理图纸变更手续施工单位就现场施工的），视为监理人未履行监理职责，监理人按500元/次向委托人承担违约责任。</w:t>
      </w:r>
    </w:p>
    <w:p w14:paraId="2C6D8493">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⑨监理人应认真、仔细审核《工程量原始签证单》及《工程量签证单》，如发包人审核过程中发现《工程量原始签证单》及《工程量签证单》存在涂改、签字人员及签字日期不齐全、收方计量数据不全、计量依据错误、计价错误等情形的，视为监理人未履行职责到位，监理人应按100元/次·处向发包人承担违约责任。监理人在发包人（现场代表或计量工程师）未参与工程收方时仍参加或允许收方的，视为监理人履职不到位，监理人应按500元/次向发包人承担违约责任。</w:t>
      </w:r>
    </w:p>
    <w:p w14:paraId="4869008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（2）工期方面</w:t>
      </w:r>
    </w:p>
    <w:p w14:paraId="4D915EF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监理人严格审核各施工单位提交的总工期和分段工期计划，并单独形成工期分析审核意见书， 详细说明施工单位工期的合理性及需要调整的地方。将工期监理工作落实到每天，发现施工单位出</w:t>
      </w:r>
    </w:p>
    <w:p w14:paraId="1062E2D9">
      <w:pPr>
        <w:pageBreakBefore w:val="0"/>
        <w:kinsoku/>
        <w:wordWrap/>
        <w:overflowPunct/>
        <w:topLinePunct w:val="0"/>
        <w:autoSpaceDE/>
        <w:autoSpaceDN/>
        <w:bidi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现阻碍工期的因素立即以书面形式当日通报委托人，并全力协助委托人解决工期阻碍因素。</w:t>
      </w:r>
    </w:p>
    <w:p w14:paraId="6EEC4FD2">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 分段工期考核： 若分段工期第一次达不到计划工期， 监理人要写出详细的《分段工期延期情况分析报告》报送委托人。如委托人对监理人分析报告不满意或监理人报告情况不属实，没有尽到督促责任，按监理人违约处理，罚金按</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00元／次执行，监理人不得有异议。累计次数达到五次，要求监理人承担合同暂定总金额</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%的违约金，并追究监理人的罚责任和违约责任，且委托人还有权解除合同。</w:t>
      </w:r>
    </w:p>
    <w:p w14:paraId="65325093">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 总工期考核： 若各施工单位的总工期未达到计划工期，监理人要写出比分段工期延期更详细的《分段工期延期情况分析报告》报送委托人。如委托人对监理人分析报告不满意或监理人报告情况不属实，没有尽到督促责任，按监理人违约处理，罚金按</w:t>
      </w:r>
      <w:r>
        <w:rPr>
          <w:rFonts w:hint="eastAsia" w:ascii="宋体" w:hAnsi="宋体" w:eastAsia="宋体" w:cs="宋体"/>
          <w:snapToGrid w:val="0"/>
          <w:color w:val="auto"/>
          <w:kern w:val="0"/>
          <w:sz w:val="24"/>
          <w:szCs w:val="24"/>
          <w:highlight w:val="none"/>
          <w:lang w:val="en-US" w:eastAsia="zh-CN"/>
        </w:rPr>
        <w:t>1000</w:t>
      </w:r>
      <w:r>
        <w:rPr>
          <w:rFonts w:hint="eastAsia" w:ascii="宋体" w:hAnsi="宋体" w:eastAsia="宋体" w:cs="宋体"/>
          <w:snapToGrid w:val="0"/>
          <w:color w:val="auto"/>
          <w:kern w:val="0"/>
          <w:sz w:val="24"/>
          <w:szCs w:val="24"/>
          <w:highlight w:val="none"/>
        </w:rPr>
        <w:t>元／次执行，并追究监理人的罚责任和违约责任，且委托人还有权解除合同。</w:t>
      </w:r>
    </w:p>
    <w:p w14:paraId="542B5F1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③节点工期考核：若各施工单位的总工期未达到计划工期，监理人要写出比节点延期更详细的《节点工期延期情况分析报告》报送委托人。如委托人对监理人分析报告不满意或监理人报告情况不属实，没有尽到督促责任，按监理人违约处理，罚金按 </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00元／次执行，监理人不得有异议。累计次数达到五次，要求监理人承担合同暂定总金额</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%的违约金，并追究监理人的罚责任和违约责任，且委托人还有权解除合同。</w:t>
      </w:r>
    </w:p>
    <w:p w14:paraId="5B80621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（3）安全方面</w:t>
      </w:r>
    </w:p>
    <w:p w14:paraId="335AFAA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①监理人务必加强现场施工安全方面的监理，不能在施工现场出现重伤或死亡事件。</w:t>
      </w:r>
    </w:p>
    <w:p w14:paraId="6A93ECF8">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②监理人必须建立本企业安全生产责任制度，在各级岗位中落实安全生产责任，并明确考核 办法。在监理项目中， 监理日记必须设《安全生产存在的主要问题及处理措施》专栏，每周经项目总监理工程师审签。</w:t>
      </w:r>
    </w:p>
    <w:p w14:paraId="696FE94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③监理人必须对施工单位报送的安全专项施工方案及计算书（包括但不限于：基坑支护与降水 工程、土石方开挖工程、模板工程、脚手架工程、拆除工程、爆破工程）等资料进行审查，并在规定的时间内提出审查意见，确保编制内容符合有关规定和工程建设强制性标准，复审合格后，由总监理工程师签字， 对《建设工程安全生产管理条例》 中规定应组织专家论证的深基坑、高大模板工程专项施工方案，监理工程师结合专家讨论的意见，审定其专项施工方案。</w:t>
      </w:r>
    </w:p>
    <w:p w14:paraId="62E15EA3">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④监理人在实施监理过程中，发现存在安全隐患的，应要求施工单位整改，隐患严重的要求</w:t>
      </w:r>
    </w:p>
    <w:p w14:paraId="57A57B81">
      <w:pPr>
        <w:pageBreakBefore w:val="0"/>
        <w:kinsoku/>
        <w:wordWrap/>
        <w:overflowPunct/>
        <w:topLinePunct w:val="0"/>
        <w:autoSpaceDE/>
        <w:autoSpaceDN/>
        <w:bidi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施工单位暂停施工，并报告委托人；隐患整改完毕须经总监签字，并签发复工令后方可恢复施工。</w:t>
      </w:r>
    </w:p>
    <w:p w14:paraId="22D0C439">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⑤施工现场存在安全文明施工隐患问题，不符合相关法律法规、行业规范规定及项目委托人（代理委托人） 、主管部门相关要求，施工单位受到处罚的，出现一次处罚监理人一次，每次按施工单位当次被应承担违约金额的</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%处以违约金。 </w:t>
      </w:r>
    </w:p>
    <w:p w14:paraId="10501B6E">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⑥若施工现场存在安全隐患或者文明施工不符合重庆市、委托人及主管部门相关要求，施工单位受到处罚的，出现一次处罚监理人一次，每次按施工单位当次被应承担违约金额的</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%处以违约金。 </w:t>
      </w:r>
    </w:p>
    <w:p w14:paraId="27E77EF1">
      <w:pPr>
        <w:pageBreakBefore w:val="0"/>
        <w:kinsoku/>
        <w:wordWrap/>
        <w:overflowPunct/>
        <w:topLinePunct w:val="0"/>
        <w:autoSpaceDE/>
        <w:autoSpaceDN/>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⑦监理人务必加强现场施工安全方面的监理，不能在施工现场出现安全事故。若工程施工过程中发生安全事故， 除按国家有关规定承担责任和处罚外， 为督促监理人着实落实安全监督的责任，维护好施工过程安全，若施工单位在施工过程中</w:t>
      </w:r>
      <w:r>
        <w:rPr>
          <w:rFonts w:hint="eastAsia" w:ascii="宋体" w:hAnsi="宋体" w:eastAsia="宋体" w:cs="宋体"/>
          <w:snapToGrid w:val="0"/>
          <w:color w:val="auto"/>
          <w:kern w:val="0"/>
          <w:sz w:val="24"/>
          <w:szCs w:val="24"/>
          <w:highlight w:val="none"/>
          <w:lang w:eastAsia="zh-CN"/>
        </w:rPr>
        <w:t>发生</w:t>
      </w:r>
      <w:r>
        <w:rPr>
          <w:rFonts w:hint="eastAsia" w:ascii="宋体" w:hAnsi="宋体" w:eastAsia="宋体" w:cs="宋体"/>
          <w:snapToGrid w:val="0"/>
          <w:color w:val="auto"/>
          <w:kern w:val="0"/>
          <w:sz w:val="24"/>
          <w:szCs w:val="24"/>
          <w:highlight w:val="none"/>
        </w:rPr>
        <w:t>安全事故时，委托人将按照以下标准对监理人进行考核：</w:t>
      </w:r>
    </w:p>
    <w:tbl>
      <w:tblPr>
        <w:tblStyle w:val="41"/>
        <w:tblW w:w="8066" w:type="dxa"/>
        <w:tblInd w:w="49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725"/>
        <w:gridCol w:w="4341"/>
      </w:tblGrid>
      <w:tr w14:paraId="2E82A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3725" w:type="dxa"/>
          </w:tcPr>
          <w:p w14:paraId="77B40346">
            <w:pPr>
              <w:pageBreakBefore w:val="0"/>
              <w:kinsoku/>
              <w:wordWrap/>
              <w:overflowPunct/>
              <w:topLinePunct w:val="0"/>
              <w:autoSpaceDE/>
              <w:autoSpaceDN/>
              <w:bidi w:val="0"/>
              <w:spacing w:line="360" w:lineRule="auto"/>
              <w:ind w:firstLine="1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事件类型</w:t>
            </w:r>
          </w:p>
        </w:tc>
        <w:tc>
          <w:tcPr>
            <w:tcW w:w="4340" w:type="dxa"/>
          </w:tcPr>
          <w:p w14:paraId="42606231">
            <w:pPr>
              <w:pageBreakBefore w:val="0"/>
              <w:kinsoku/>
              <w:wordWrap/>
              <w:overflowPunct/>
              <w:topLinePunct w:val="0"/>
              <w:autoSpaceDE/>
              <w:autoSpaceDN/>
              <w:bidi w:val="0"/>
              <w:spacing w:line="360" w:lineRule="auto"/>
              <w:ind w:firstLine="17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违约金额</w:t>
            </w:r>
          </w:p>
        </w:tc>
      </w:tr>
      <w:tr w14:paraId="42D51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5" w:hRule="atLeast"/>
        </w:trPr>
        <w:tc>
          <w:tcPr>
            <w:tcW w:w="3725" w:type="dxa"/>
          </w:tcPr>
          <w:p w14:paraId="19432D5C">
            <w:pPr>
              <w:pageBreakBefore w:val="0"/>
              <w:kinsoku/>
              <w:wordWrap/>
              <w:overflowPunct/>
              <w:topLinePunct w:val="0"/>
              <w:autoSpaceDE/>
              <w:autoSpaceDN/>
              <w:bidi w:val="0"/>
              <w:spacing w:line="360" w:lineRule="auto"/>
              <w:ind w:firstLine="145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一般事故</w:t>
            </w:r>
          </w:p>
        </w:tc>
        <w:tc>
          <w:tcPr>
            <w:tcW w:w="4340" w:type="dxa"/>
          </w:tcPr>
          <w:p w14:paraId="2E5805E4">
            <w:pPr>
              <w:pageBreakBefore w:val="0"/>
              <w:kinsoku/>
              <w:wordWrap/>
              <w:overflowPunct/>
              <w:topLinePunct w:val="0"/>
              <w:autoSpaceDE/>
              <w:autoSpaceDN/>
              <w:bidi w:val="0"/>
              <w:spacing w:line="360" w:lineRule="auto"/>
              <w:ind w:firstLine="8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按安全文明施工违约附录执行</w:t>
            </w:r>
          </w:p>
        </w:tc>
      </w:tr>
      <w:tr w14:paraId="4E241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2" w:hRule="atLeast"/>
        </w:trPr>
        <w:tc>
          <w:tcPr>
            <w:tcW w:w="3725" w:type="dxa"/>
          </w:tcPr>
          <w:p w14:paraId="48059B3A">
            <w:pPr>
              <w:pageBreakBefore w:val="0"/>
              <w:kinsoku/>
              <w:wordWrap/>
              <w:overflowPunct/>
              <w:topLinePunct w:val="0"/>
              <w:autoSpaceDE/>
              <w:autoSpaceDN/>
              <w:bidi w:val="0"/>
              <w:spacing w:line="360" w:lineRule="auto"/>
              <w:ind w:firstLine="1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较大事故</w:t>
            </w:r>
          </w:p>
        </w:tc>
        <w:tc>
          <w:tcPr>
            <w:tcW w:w="4340" w:type="dxa"/>
          </w:tcPr>
          <w:p w14:paraId="791EBE1C">
            <w:pPr>
              <w:pageBreakBefore w:val="0"/>
              <w:kinsoku/>
              <w:wordWrap/>
              <w:overflowPunct/>
              <w:topLinePunct w:val="0"/>
              <w:autoSpaceDE/>
              <w:autoSpaceDN/>
              <w:bidi w:val="0"/>
              <w:spacing w:line="360" w:lineRule="auto"/>
              <w:ind w:firstLine="8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按安全文明施工违约附录执行</w:t>
            </w:r>
          </w:p>
        </w:tc>
      </w:tr>
      <w:tr w14:paraId="76663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7" w:hRule="atLeast"/>
        </w:trPr>
        <w:tc>
          <w:tcPr>
            <w:tcW w:w="3725" w:type="dxa"/>
          </w:tcPr>
          <w:p w14:paraId="06465537">
            <w:pPr>
              <w:pageBreakBefore w:val="0"/>
              <w:kinsoku/>
              <w:wordWrap/>
              <w:overflowPunct/>
              <w:topLinePunct w:val="0"/>
              <w:autoSpaceDE/>
              <w:autoSpaceDN/>
              <w:bidi w:val="0"/>
              <w:spacing w:line="360" w:lineRule="auto"/>
              <w:ind w:firstLine="145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重大事故</w:t>
            </w:r>
          </w:p>
        </w:tc>
        <w:tc>
          <w:tcPr>
            <w:tcW w:w="4340" w:type="dxa"/>
          </w:tcPr>
          <w:p w14:paraId="579D859D">
            <w:pPr>
              <w:pageBreakBefore w:val="0"/>
              <w:kinsoku/>
              <w:wordWrap/>
              <w:overflowPunct/>
              <w:topLinePunct w:val="0"/>
              <w:autoSpaceDE/>
              <w:autoSpaceDN/>
              <w:bidi w:val="0"/>
              <w:spacing w:line="360" w:lineRule="auto"/>
              <w:ind w:firstLine="8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按安全文明施工违约附录执行</w:t>
            </w:r>
          </w:p>
        </w:tc>
      </w:tr>
      <w:tr w14:paraId="56C4C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9" w:hRule="atLeast"/>
        </w:trPr>
        <w:tc>
          <w:tcPr>
            <w:tcW w:w="3725" w:type="dxa"/>
          </w:tcPr>
          <w:p w14:paraId="1921DCDC">
            <w:pPr>
              <w:pageBreakBefore w:val="0"/>
              <w:kinsoku/>
              <w:wordWrap/>
              <w:overflowPunct/>
              <w:topLinePunct w:val="0"/>
              <w:autoSpaceDE/>
              <w:autoSpaceDN/>
              <w:bidi w:val="0"/>
              <w:spacing w:line="360" w:lineRule="auto"/>
              <w:ind w:firstLine="12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特别重大事故</w:t>
            </w:r>
          </w:p>
        </w:tc>
        <w:tc>
          <w:tcPr>
            <w:tcW w:w="4340" w:type="dxa"/>
          </w:tcPr>
          <w:p w14:paraId="79BBE7BD">
            <w:pPr>
              <w:pageBreakBefore w:val="0"/>
              <w:kinsoku/>
              <w:wordWrap/>
              <w:overflowPunct/>
              <w:topLinePunct w:val="0"/>
              <w:autoSpaceDE/>
              <w:autoSpaceDN/>
              <w:bidi w:val="0"/>
              <w:spacing w:line="360" w:lineRule="auto"/>
              <w:ind w:firstLine="7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按安全文明施工违约附录执行</w:t>
            </w:r>
          </w:p>
        </w:tc>
      </w:tr>
    </w:tbl>
    <w:p w14:paraId="54ED97F9">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一般事故，是指造成 3 人以下死亡，或者 10 人以下重伤，或者 1000 万元以下直接经济损失的事故；</w:t>
      </w:r>
    </w:p>
    <w:p w14:paraId="6B0E4D7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较大事故，是指造成 3 人以上 10 人以下死亡，或者 10 人以上 50 人以下重伤，或者 1000 万元以上 5000 万元以下直接经济损失的事故；</w:t>
      </w:r>
    </w:p>
    <w:p w14:paraId="0EAFDC48">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重大事故，是指造成 10 人以上 30 人以下死亡，或者 50 人以上 100 人以下重伤，或者 5000 万元以上 1 亿元以下直接经济损失的事故；</w:t>
      </w:r>
    </w:p>
    <w:p w14:paraId="09CD75BF">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特别重大事故，是指造成 30 人以上死亡，或者 100 人以上重伤（包括急性工业中毒，下同）， 或者 1 亿元以上直接经济损失的事故；</w:t>
      </w:r>
    </w:p>
    <w:p w14:paraId="25A3892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所称的“以上”包括本数，所称的“以下”不包括本数。</w:t>
      </w:r>
    </w:p>
    <w:p w14:paraId="64CC3B99">
      <w:pPr>
        <w:pageBreakBefore w:val="0"/>
        <w:kinsoku/>
        <w:wordWrap/>
        <w:overflowPunct/>
        <w:topLinePunct w:val="0"/>
        <w:autoSpaceDE/>
        <w:autoSpaceDN/>
        <w:bidi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若因监理人严重过失，导致施工单位在施工过程中发生一般事故、较大事故、重大事故或特别重大事故时，委托人除收取上述违约金外，有权要求解除合同，没收履约保证金，并要求监理人承担专用条款4.1约定的违约责任。</w:t>
      </w:r>
    </w:p>
    <w:p w14:paraId="44AABA7F">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（4）竣工资料审查方面</w:t>
      </w:r>
    </w:p>
    <w:p w14:paraId="5A8CFC29">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监理人专业监理工程师监理工作扎实到位，竣工资料审查应准确，快捷。在接到施工单位递交的任何竣工资料之日起，监理人专业监理工程师和总监理工程师必须在 7 天内审核会签完毕；不能会签的部分（即不准确）必须在接到竣工资料之日起 3 天内向施工单位和委托人说明原因，并解释清楚；不能有任何拖延现象出现。 </w:t>
      </w:r>
    </w:p>
    <w:p w14:paraId="080D2118">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考核办法：</w:t>
      </w:r>
    </w:p>
    <w:p w14:paraId="0C106A1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① 准确性的考核： 委托人审查竣工图和竣工资料时，发现监理人的错漏问题，发现一处以违约金100 元/处，当超过 </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 xml:space="preserve"> 处后违约金按 200元/次，当超过</w:t>
      </w:r>
      <w:r>
        <w:rPr>
          <w:rFonts w:hint="eastAsia" w:ascii="宋体" w:hAnsi="宋体" w:eastAsia="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处的，并要求监理人承担合同暂定总金额</w:t>
      </w:r>
      <w:r>
        <w:rPr>
          <w:rFonts w:hint="eastAsia" w:ascii="宋体" w:hAnsi="宋体" w:eastAsia="宋体" w:cs="宋体"/>
          <w:snapToGrid w:val="0"/>
          <w:color w:val="auto"/>
          <w:kern w:val="0"/>
          <w:sz w:val="24"/>
          <w:szCs w:val="24"/>
          <w:highlight w:val="none"/>
          <w:lang w:val="en-US" w:eastAsia="zh-CN"/>
        </w:rPr>
        <w:t>0.1</w:t>
      </w:r>
      <w:r>
        <w:rPr>
          <w:rFonts w:hint="eastAsia" w:ascii="宋体" w:hAnsi="宋体" w:eastAsia="宋体" w:cs="宋体"/>
          <w:snapToGrid w:val="0"/>
          <w:color w:val="auto"/>
          <w:kern w:val="0"/>
          <w:sz w:val="24"/>
          <w:szCs w:val="24"/>
          <w:highlight w:val="none"/>
        </w:rPr>
        <w:t>%的违约金。</w:t>
      </w:r>
    </w:p>
    <w:p w14:paraId="065BC301">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 审图时间的考核：监理人在接到施工单位递交的任何竣工资料之日起，专业监理工程师和总 监在 7 日内审核会签完毕。监理人会签时间延后按 200 元/天计算罚金，时间超过</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天的，并要求监理人承担合同暂定总金额</w:t>
      </w:r>
      <w:r>
        <w:rPr>
          <w:rFonts w:hint="eastAsia" w:ascii="宋体" w:hAnsi="宋体" w:eastAsia="宋体" w:cs="宋体"/>
          <w:snapToGrid w:val="0"/>
          <w:color w:val="auto"/>
          <w:kern w:val="0"/>
          <w:sz w:val="24"/>
          <w:szCs w:val="24"/>
          <w:highlight w:val="none"/>
          <w:lang w:val="en-US" w:eastAsia="zh-CN"/>
        </w:rPr>
        <w:t>0.1</w:t>
      </w:r>
      <w:r>
        <w:rPr>
          <w:rFonts w:hint="eastAsia" w:ascii="宋体" w:hAnsi="宋体" w:eastAsia="宋体" w:cs="宋体"/>
          <w:snapToGrid w:val="0"/>
          <w:color w:val="auto"/>
          <w:kern w:val="0"/>
          <w:sz w:val="24"/>
          <w:szCs w:val="24"/>
          <w:highlight w:val="none"/>
        </w:rPr>
        <w:t>%的违约金。</w:t>
      </w:r>
    </w:p>
    <w:p w14:paraId="767EFC30">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9.2监理工作要求</w:t>
      </w:r>
    </w:p>
    <w:p w14:paraId="1DC64B09">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9.2.1监理人负责工程施工质量、进度协调和控制、施工图及工程竣工图审核。 </w:t>
      </w:r>
    </w:p>
    <w:p w14:paraId="658B2915">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9.2.2监理人需成立由总监理工程师牵头、各专业监理工程师、监理员组成的监理工作组，全面配合委托人做好施工及管理工作，参加施工及竣工验收过程中的各种专题会、审查会，对所有施工事宜的合规性、经济性、施工可实施性等各方面提出意见及建议。</w:t>
      </w:r>
    </w:p>
    <w:p w14:paraId="2708394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9.2.3当工地施工未停工时，监理人应保证监理工程师不得离开工地。 </w:t>
      </w:r>
    </w:p>
    <w:p w14:paraId="06D25788">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9.2.4重点部位、关键部位要求监理跟班旁站监理，并作旁监记录备查。监理人分管质量和安</w:t>
      </w:r>
    </w:p>
    <w:p w14:paraId="0AEEFD51">
      <w:pPr>
        <w:pageBreakBefore w:val="0"/>
        <w:kinsoku/>
        <w:wordWrap/>
        <w:overflowPunct/>
        <w:topLinePunct w:val="0"/>
        <w:autoSpaceDE/>
        <w:autoSpaceDN/>
        <w:bidi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全的负责人每月带队至少一次对现场进行巡查并形成书面资料上报委托人。 </w:t>
      </w:r>
    </w:p>
    <w:p w14:paraId="4730A3A2">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9.2.5工程分部质量和综合质量检查验收须有监理工程师自己亲手量测的质量检测资料（量测工具由监理人自备），观感质量评定(除质量保证项目外)，以此资料为评定依据。 </w:t>
      </w:r>
    </w:p>
    <w:p w14:paraId="452F4A94">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9.2.6包括但不限于参与材料及设备价格的认价和审核、全费用综合包干单价审核、结算审核等工程投资控制相关工作。 </w:t>
      </w:r>
    </w:p>
    <w:p w14:paraId="002EEC62">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9.2.7督促施工单位竣工资料的及时整理并认真审查，保证档案验收一次通过。 </w:t>
      </w:r>
    </w:p>
    <w:p w14:paraId="201E443A">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9.2.8本合同中约定的拟派人员无法满足现场管理的实际需要，特别是在施工高峰期间时段，监理人必须按委托人要求无条件增加驻场人员，完成委托人要求的工作，且不调整合同价。（不限于监理管理） 。 </w:t>
      </w:r>
    </w:p>
    <w:p w14:paraId="7A40BB1A">
      <w:pPr>
        <w:pageBreakBefore w:val="0"/>
        <w:kinsoku/>
        <w:wordWrap/>
        <w:overflowPunct/>
        <w:topLinePunct w:val="0"/>
        <w:autoSpaceDE/>
        <w:autoSpaceDN/>
        <w:bidi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 xml:space="preserve">9.2.9在质保期内监理应继续履行监理职责并派人驻场，对涉及施工安全的维修整改事宜，监理应按相关程序审核后方可实施，并进行旁站。 </w:t>
      </w:r>
    </w:p>
    <w:p w14:paraId="64F0376E">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9.3因监理人未按工程建设相关法律法规、政策文件、规范以及本合同约定履职，或因监理人使用不称职管理人员给工程建设造成损失的，除了由监理人向项目业主单位承担相应的赔偿责任外，导致代理业主受到项目业主或第三方处罚，视为监理单位违约，且按代理业主受罚金额的2倍向代理业主支付违约金。 </w:t>
      </w:r>
    </w:p>
    <w:p w14:paraId="5317F87B">
      <w:pPr>
        <w:pageBreakBefore w:val="0"/>
        <w:kinsoku/>
        <w:wordWrap/>
        <w:overflowPunct/>
        <w:topLinePunct w:val="0"/>
        <w:autoSpaceDE/>
        <w:autoSpaceDN/>
        <w:bidi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9.4当监理人未履行全部或部分监理义务，而又无正当理由，委托人可发出警告直至解除监理合同，监理人承担违约责任，每次处以 300-500元/次的违约金。 </w:t>
      </w:r>
    </w:p>
    <w:p w14:paraId="46730F8C">
      <w:pPr>
        <w:keepNext/>
        <w:keepLines/>
        <w:pageBreakBefore w:val="0"/>
        <w:kinsoku/>
        <w:wordWrap/>
        <w:overflowPunct/>
        <w:topLinePunct w:val="0"/>
        <w:autoSpaceDE/>
        <w:autoSpaceDN/>
        <w:bidi w:val="0"/>
        <w:spacing w:line="360" w:lineRule="auto"/>
        <w:outlineLvl w:val="2"/>
        <w:rPr>
          <w:rFonts w:hint="eastAsia" w:ascii="宋体" w:hAnsi="宋体" w:eastAsia="宋体" w:cs="宋体"/>
          <w:b/>
          <w:bCs/>
          <w:snapToGrid w:val="0"/>
          <w:color w:val="000000" w:themeColor="text1"/>
          <w:sz w:val="24"/>
          <w:szCs w:val="24"/>
          <w14:textFill>
            <w14:solidFill>
              <w14:schemeClr w14:val="tx1"/>
            </w14:solidFill>
          </w14:textFill>
        </w:rPr>
      </w:pPr>
      <w:bookmarkStart w:id="480" w:name="_Toc28769"/>
      <w:bookmarkStart w:id="481" w:name="_Toc12665"/>
      <w:r>
        <w:rPr>
          <w:rFonts w:hint="eastAsia" w:ascii="宋体" w:hAnsi="宋体" w:eastAsia="宋体" w:cs="宋体"/>
          <w:snapToGrid w:val="0"/>
          <w:color w:val="auto"/>
          <w:kern w:val="0"/>
          <w:sz w:val="24"/>
          <w:szCs w:val="24"/>
          <w:highlight w:val="none"/>
        </w:rPr>
        <w:t xml:space="preserve">9.5监理人未经委托人书面同意，无正当理由擅自不履行监理合同或单方面终止监理合同的，监理人应按委托人已支付的监理费的 </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 xml:space="preserve">%支付违约金，并全额返还委托人已支付的监理费。 </w:t>
      </w:r>
      <w:r>
        <w:rPr>
          <w:rFonts w:ascii="宋体" w:cs="宋体"/>
          <w:color w:val="auto"/>
          <w:highlight w:val="none"/>
        </w:rPr>
        <w:br w:type="page"/>
      </w:r>
      <w:bookmarkEnd w:id="480"/>
      <w:bookmarkEnd w:id="481"/>
    </w:p>
    <w:bookmarkEnd w:id="475"/>
    <w:bookmarkEnd w:id="476"/>
    <w:bookmarkEnd w:id="477"/>
    <w:p w14:paraId="2293CF87">
      <w:pPr>
        <w:keepNext/>
        <w:keepLines/>
        <w:spacing w:before="120" w:beforeLines="50" w:line="360" w:lineRule="auto"/>
        <w:jc w:val="center"/>
        <w:outlineLvl w:val="1"/>
        <w:rPr>
          <w:rFonts w:hint="eastAsia" w:ascii="宋体" w:hAnsi="宋体" w:eastAsia="宋体" w:cs="宋体"/>
          <w:b/>
          <w:bCs/>
          <w:snapToGrid w:val="0"/>
          <w:color w:val="000000" w:themeColor="text1"/>
          <w:sz w:val="24"/>
          <w:szCs w:val="24"/>
          <w14:textFill>
            <w14:solidFill>
              <w14:schemeClr w14:val="tx1"/>
            </w14:solidFill>
          </w14:textFill>
        </w:rPr>
      </w:pPr>
      <w:bookmarkStart w:id="482" w:name="_Toc336433188"/>
      <w:bookmarkStart w:id="483" w:name="_Toc336440379"/>
      <w:bookmarkStart w:id="484" w:name="_Toc27089"/>
      <w:bookmarkStart w:id="485" w:name="_Toc24312"/>
      <w:bookmarkStart w:id="486" w:name="_Toc341124947"/>
      <w:bookmarkStart w:id="487" w:name="_Toc9636"/>
      <w:bookmarkStart w:id="488" w:name="_Toc336432131"/>
      <w:bookmarkStart w:id="489" w:name="_Toc6325"/>
      <w:bookmarkStart w:id="490" w:name="_Toc14372"/>
      <w:bookmarkStart w:id="491" w:name="_Toc336433994"/>
      <w:bookmarkStart w:id="492" w:name="_Toc832"/>
      <w:bookmarkStart w:id="493" w:name="_Toc14567"/>
      <w:bookmarkStart w:id="494" w:name="_Toc10308"/>
      <w:r>
        <w:rPr>
          <w:rFonts w:hint="eastAsia" w:ascii="宋体" w:hAnsi="宋体" w:eastAsia="宋体" w:cs="宋体"/>
          <w:b/>
          <w:bCs/>
          <w:snapToGrid w:val="0"/>
          <w:color w:val="000000" w:themeColor="text1"/>
          <w:sz w:val="24"/>
          <w:szCs w:val="24"/>
          <w14:textFill>
            <w14:solidFill>
              <w14:schemeClr w14:val="tx1"/>
            </w14:solidFill>
          </w14:textFill>
        </w:rPr>
        <w:t>第二章 合同通用条款</w:t>
      </w:r>
      <w:bookmarkEnd w:id="482"/>
      <w:bookmarkEnd w:id="483"/>
      <w:bookmarkEnd w:id="484"/>
      <w:bookmarkEnd w:id="485"/>
      <w:bookmarkEnd w:id="486"/>
      <w:bookmarkEnd w:id="487"/>
      <w:bookmarkEnd w:id="488"/>
      <w:bookmarkEnd w:id="489"/>
      <w:bookmarkEnd w:id="490"/>
      <w:bookmarkEnd w:id="491"/>
      <w:bookmarkEnd w:id="492"/>
      <w:bookmarkEnd w:id="493"/>
      <w:bookmarkEnd w:id="494"/>
    </w:p>
    <w:p w14:paraId="63B65375">
      <w:pPr>
        <w:spacing w:before="315" w:line="360" w:lineRule="auto"/>
        <w:ind w:firstLine="17"/>
        <w:rPr>
          <w:rFonts w:hint="eastAsia" w:ascii="宋体" w:hAnsi="宋体" w:eastAsia="宋体" w:cs="宋体"/>
          <w:color w:val="auto"/>
          <w:sz w:val="24"/>
          <w:szCs w:val="24"/>
          <w:highlight w:val="none"/>
        </w:rPr>
      </w:pPr>
      <w:bookmarkStart w:id="495" w:name="_Toc336434070"/>
      <w:bookmarkStart w:id="496" w:name="_Toc18788"/>
      <w:bookmarkStart w:id="497" w:name="_Toc336440455"/>
      <w:bookmarkStart w:id="498" w:name="_Toc336432207"/>
      <w:bookmarkStart w:id="499" w:name="_Toc13954"/>
      <w:bookmarkStart w:id="500" w:name="_Toc336433264"/>
      <w:bookmarkStart w:id="501" w:name="_Toc341125023"/>
      <w:bookmarkStart w:id="502" w:name="_Toc12787"/>
      <w:bookmarkStart w:id="503" w:name="_Toc2202"/>
      <w:bookmarkStart w:id="504" w:name="_Toc28759"/>
      <w:bookmarkStart w:id="505" w:name="_Toc336432198"/>
      <w:bookmarkStart w:id="506" w:name="_Toc336433255"/>
      <w:bookmarkStart w:id="507" w:name="_Toc336434061"/>
      <w:bookmarkStart w:id="508" w:name="_Toc341125014"/>
      <w:bookmarkStart w:id="509" w:name="_Toc336440446"/>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1.</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定义与解释</w:t>
      </w:r>
    </w:p>
    <w:p w14:paraId="1F0A7C45">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 定义</w:t>
      </w:r>
    </w:p>
    <w:p w14:paraId="1CA9B34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除根据上下文另有其意义外，组成本合同的全部文件中的下列名词和用语应具有本款所赋 予的含义：</w:t>
      </w:r>
    </w:p>
    <w:p w14:paraId="4A54301E">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 “工程”是指按照本合同约定实施监理与相关服务的建设工程。</w:t>
      </w:r>
    </w:p>
    <w:p w14:paraId="294614E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1.1.2 “委托人”是指本合同中委托监理与相关服务的一方，及其合法的继承人或受让人。</w:t>
      </w:r>
    </w:p>
    <w:p w14:paraId="4484AE24">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1.1.3 “监理人”是指本合同中提供监理与相关服务的一方，及其合法的继承人。</w:t>
      </w:r>
    </w:p>
    <w:p w14:paraId="7F695E9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1.1.4 “承包人”是指在工程范围内与委托人签订勘察、设计、施工等有关合同的当事人，及其合法的继承人。</w:t>
      </w:r>
    </w:p>
    <w:p w14:paraId="5B85EA8A">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1.1.5 “监理”是指监理人受委托人的委托 ，依照法律法规、工程建设标准、勘察设计文件及合同，在施工阶段对建设工程质量、进度、造价进行控制，对合同、信息进行管理， 对工程建设相关方的关系进行协调， 并履行建设工程安全生产管理法定职责的服务活动。</w:t>
      </w:r>
    </w:p>
    <w:p w14:paraId="3B4315C8">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1.1.6 “相关服务”是指监理人受委托人的委托 ，按照本合同约定， 在勘察、设计、保修 等阶段提供的服务活动。</w:t>
      </w:r>
    </w:p>
    <w:p w14:paraId="58A0388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1.1.7“正常工作”指本合同订立时通用合同条款和专用合同条款中约定的监理人的工作。</w:t>
      </w:r>
    </w:p>
    <w:p w14:paraId="10E4750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1.1.8“附加工作”是指本合同约定的正常工作以外监理人的工作。</w:t>
      </w:r>
    </w:p>
    <w:p w14:paraId="146780BD">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1.1.9“项目监理机构”是指监理人派驻工程负责履行本合同的组织机构。</w:t>
      </w:r>
    </w:p>
    <w:p w14:paraId="746DA27D">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1.1.10“总监理工程师”是指由监理人的法定代表人书面授权， 全面负责履行本合同、主持项目监理机构工作的注册监理工程师。</w:t>
      </w:r>
    </w:p>
    <w:p w14:paraId="7CA5850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1.1.11“酬金”是指监理人履行本合同义务， 委托人按照本合同约定给付监理人的金额。</w:t>
      </w:r>
    </w:p>
    <w:p w14:paraId="0B8B9BB7">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1.1.12“正常工作酬金”是指监理人完成正常工作， 委托人应给付监理人并在协议书中载明的签约酬金额。</w:t>
      </w:r>
    </w:p>
    <w:p w14:paraId="669C91B0">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1.1.13“附加工作酬金”是指监理人完成附加工作，委托人应给付监理人的金额。</w:t>
      </w:r>
    </w:p>
    <w:p w14:paraId="6818DA59">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1.1.14“一方”是指委托人或监理人；“双方”是指委托人和监理人；“第三方”是指除委托人和监理人以外的有关方。</w:t>
      </w:r>
    </w:p>
    <w:p w14:paraId="46DEE15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bottom"/>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1.1.15 “书面形式”是指合同书、信件和数据电文（包括电报、电传、传真、电子数据交换和电子邮件）等可以有形地表现所载内容的形式。</w:t>
      </w:r>
    </w:p>
    <w:p w14:paraId="6425C46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bottom"/>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1.1.16 “天”是指第一天零时至第二天零时的时间。</w:t>
      </w:r>
    </w:p>
    <w:p w14:paraId="4BE239C4">
      <w:pPr>
        <w:keepNext w:val="0"/>
        <w:keepLines w:val="0"/>
        <w:pageBreakBefore w:val="0"/>
        <w:widowControl w:val="0"/>
        <w:kinsoku/>
        <w:wordWrap/>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1.1.17 “月”是指按公历从一个月中任何一天开始的一个公历月时间。</w:t>
      </w:r>
    </w:p>
    <w:p w14:paraId="5517BE0B">
      <w:pPr>
        <w:keepNext w:val="0"/>
        <w:keepLines w:val="0"/>
        <w:pageBreakBefore w:val="0"/>
        <w:widowControl w:val="0"/>
        <w:kinsoku/>
        <w:wordWrap/>
        <w:overflowPunct/>
        <w:topLinePunct w:val="0"/>
        <w:bidi w:val="0"/>
        <w:adjustRightInd/>
        <w:snapToGrid/>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1.1.18 “不可抗力”是指委托人和监理人在订立本合同时不可预见，在工程施工过程中不可避免发生并不能克服的自然灾害和社会性突发事件，如地震、海啸、瘟疫、水灾、骚乱、暴动、战争和专用合同条款约定的其他情形。</w:t>
      </w:r>
    </w:p>
    <w:p w14:paraId="09928D22">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 解释</w:t>
      </w:r>
    </w:p>
    <w:p w14:paraId="69EB5547">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1.2.1 本合同使用中文书写、解释和说明。如专用合同条款约定使用两种及以上语言文字时，应以中文为准。</w:t>
      </w:r>
    </w:p>
    <w:p w14:paraId="0CFD37B0">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1.2.2 组成本合同的下列文件彼此应能相互解释、互为说明。除专用合同条款另有约定外，本合同文件的解释顺序如下：</w:t>
      </w:r>
    </w:p>
    <w:p w14:paraId="21E10F90">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（1）协议书；                                                 </w:t>
      </w:r>
    </w:p>
    <w:p w14:paraId="6CA8511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（2）中标通知书（适用于招标工程）或委托书（适用于非招标工程）；</w:t>
      </w:r>
    </w:p>
    <w:p w14:paraId="65BCAD4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（3）专用合同条款及附录A、附录 B；</w:t>
      </w:r>
    </w:p>
    <w:p w14:paraId="165952B3">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（4）通用合同条款；</w:t>
      </w:r>
    </w:p>
    <w:p w14:paraId="4929C71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（5）投标文件（适用于招标工程） 或监理与相关服务建议书（适用于非招标工程）。</w:t>
      </w:r>
    </w:p>
    <w:p w14:paraId="72222D42">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双方签订的补充协议与其他文件发生矛盾或歧义时，属于同一类内容的文件，应以最新签署的为准。</w:t>
      </w:r>
    </w:p>
    <w:p w14:paraId="29ECD601">
      <w:pPr>
        <w:spacing w:before="1" w:line="360" w:lineRule="auto"/>
        <w:ind w:firstLine="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监理人的义务</w:t>
      </w:r>
    </w:p>
    <w:p w14:paraId="5F805BFE">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 监理的范围和工作内容</w:t>
      </w:r>
    </w:p>
    <w:p w14:paraId="74AF581D">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2.1.1 监理范围在专用合同条款中约定。</w:t>
      </w:r>
    </w:p>
    <w:p w14:paraId="5770523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2.1.2 除专用合同条款另有约定外，监理工作内容包括：</w:t>
      </w:r>
    </w:p>
    <w:p w14:paraId="469DC909">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（1）收到工程设计文件后编制监理规划，并在第一次工地会议7天前报委托人。根据有关规定和监理工作需要，编制监理实施细则；</w:t>
      </w:r>
    </w:p>
    <w:p w14:paraId="64E9309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（2）熟悉工程设计文件，并参加由委托人主持的图纸会审和设计交底会议；</w:t>
      </w:r>
    </w:p>
    <w:p w14:paraId="58430BDD">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（3）参加由委托人主持的第一次工地会议；主持监理例会并根据工程需要主持或参加专题会议；</w:t>
      </w:r>
    </w:p>
    <w:p w14:paraId="567F1002">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（4）审查施工承包人提交的施工组织设计，重点审查其中的质量安全技术措施、专项施工方案与工程建设强制性标准的符合性；</w:t>
      </w:r>
    </w:p>
    <w:p w14:paraId="1F3F4BC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（5）检查施工承包人工程质量、安全生产管理制度及组织机构和人员资格；    </w:t>
      </w:r>
    </w:p>
    <w:p w14:paraId="62493F9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（6）检查施工承包人专职安全生产管理人员的配备情况；                    </w:t>
      </w:r>
    </w:p>
    <w:p w14:paraId="5B75817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（7）审查施工承包人提交的施工进度计划，核查承包人对施工进度计划的调整；</w:t>
      </w:r>
    </w:p>
    <w:p w14:paraId="73D35C75">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（8）检查施工承包人的试验室；</w:t>
      </w:r>
    </w:p>
    <w:p w14:paraId="532A2CD2">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（9）审核施工分包人资质条件；</w:t>
      </w:r>
    </w:p>
    <w:p w14:paraId="1CD59310">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（10）查验施工承包人的施工测量放线成果；        </w:t>
      </w:r>
    </w:p>
    <w:p w14:paraId="56CD7554">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（11）审查工程开工条件，对条件具备的签发开工令；</w:t>
      </w:r>
    </w:p>
    <w:p w14:paraId="64C31AE9">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（12）审查施工承包人报送的工程材料、构配件、设备质量证明文件的有效性和符合性，并按规定对用于工程的材料采取平行检验或见证取样方式进行抽检；</w:t>
      </w:r>
    </w:p>
    <w:p w14:paraId="17FF340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（13）审核施工承包人提交的工程款支付申请， 签发或出具工程款支付证书，并报委托人审核、批准；</w:t>
      </w:r>
    </w:p>
    <w:p w14:paraId="0E39D5D8">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（14）在巡视、旁站和检验过程中，发现工程质量、施工安全存在事故隐患的，要求施工承包人整改并报委托人；</w:t>
      </w:r>
    </w:p>
    <w:p w14:paraId="1A84540E">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（15）经委托人同意，签发工程暂停令和复工令；</w:t>
      </w:r>
    </w:p>
    <w:p w14:paraId="2C317E44">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（16）审查施工承包人提交的采用新材料、新工艺、新技术、新设备的论证材料及相关验收标准；</w:t>
      </w:r>
    </w:p>
    <w:p w14:paraId="33D730E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（17）验收隐蔽工程、分部分项工程；</w:t>
      </w:r>
    </w:p>
    <w:p w14:paraId="76DFC554">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（18） 审查施工承包人提交的工程变更申请，协调处理施工进度调整、费用索赔、合同争议等事项；</w:t>
      </w:r>
    </w:p>
    <w:p w14:paraId="193C6C71">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（19）审查施工承包人提交的竣工验收申请，编写工程质量评估报告；</w:t>
      </w:r>
    </w:p>
    <w:p w14:paraId="4D6C62CD">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（20）参加工程竣工验收，签署竣工验收意见；</w:t>
      </w:r>
    </w:p>
    <w:p w14:paraId="556D26C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（21）审查施工承包人提交的竣工结算申请并报委托人；</w:t>
      </w:r>
    </w:p>
    <w:p w14:paraId="2183872A">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（22）编制、整理工程监理归档文件并报委托人。</w:t>
      </w:r>
    </w:p>
    <w:p w14:paraId="589BD67A">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2.1.3 相关服务的范围和内容在附录A 中约定。</w:t>
      </w:r>
    </w:p>
    <w:p w14:paraId="378916A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 监理与相关服务依据</w:t>
      </w:r>
    </w:p>
    <w:p w14:paraId="7BBC8209">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2.2.1 监理依据包括：</w:t>
      </w:r>
    </w:p>
    <w:p w14:paraId="4FBF40A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（1）适用的法律、行政法规及部门规章；</w:t>
      </w:r>
    </w:p>
    <w:p w14:paraId="6AE69BEA">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（2）与工程有关的标准；</w:t>
      </w:r>
    </w:p>
    <w:p w14:paraId="04EF0B52">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（3）工程设计及有关文件；</w:t>
      </w:r>
    </w:p>
    <w:p w14:paraId="696FDE90">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（4）本合同及委托人与第三方签订的与实施工程有关的其他合同。</w:t>
      </w:r>
    </w:p>
    <w:p w14:paraId="3C86FEBD">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双方根据工程的行业和地域特点，在专用合同条款中具体约定监理依据。</w:t>
      </w:r>
    </w:p>
    <w:p w14:paraId="6E9E6701">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2.2.2 相关服务依据在专用合同条款中约定。</w:t>
      </w:r>
    </w:p>
    <w:p w14:paraId="7F2FCD03">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 项目监理机构和人员</w:t>
      </w:r>
    </w:p>
    <w:p w14:paraId="015C316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2.3.1 监理人应组建满足工作需要的项目监理机构， 配备必要的检测设备。项目监理机构的主要人员应具有相应的资格条件。</w:t>
      </w:r>
    </w:p>
    <w:p w14:paraId="2FB8CADE">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2.3.2 本合同履行过程中，总监理工程师及重要岗位监理人员应保持相对稳定，以保证监理工作正常进行。</w:t>
      </w:r>
    </w:p>
    <w:p w14:paraId="0C79199E">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2.3.3 监理人可根据工程进展和工作需要调整项目监理机构人员。监理人更换总监理工程师时，应提前 7 天向委托人书面报告， 经委托人同意后方可更换； 监理人更换项目监理机构其 他监理人员，应以相当资格与能力的人员替换，并通知委托人。</w:t>
      </w:r>
    </w:p>
    <w:p w14:paraId="29E0F904">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2.3.4 监理人应及时更换有下列情形之一的监理人员：</w:t>
      </w:r>
    </w:p>
    <w:p w14:paraId="3323B9F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（1）严重过失行为的；</w:t>
      </w:r>
    </w:p>
    <w:p w14:paraId="7AEAC1C2">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（2）有违法行为不能履行职责的；</w:t>
      </w:r>
    </w:p>
    <w:p w14:paraId="3A786748">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（3）涉嫌犯罪的；</w:t>
      </w:r>
    </w:p>
    <w:p w14:paraId="5C1B0015">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（4）不能胜任岗位职责的；</w:t>
      </w:r>
    </w:p>
    <w:p w14:paraId="2AA5B424">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（5）严重违反职业道德的；</w:t>
      </w:r>
    </w:p>
    <w:p w14:paraId="66072C50">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（6）专用合同条款约定的其他情形。</w:t>
      </w:r>
    </w:p>
    <w:p w14:paraId="632C8649">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2.3.5 委托人可要求监理人更换不能胜任本职工作的项目监理机构人员。</w:t>
      </w:r>
    </w:p>
    <w:p w14:paraId="577424E2">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 履行职责</w:t>
      </w:r>
    </w:p>
    <w:p w14:paraId="33D059A1">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监理人应遵循职业道德准则和行为规范， 严格按照法律法规、工程建设有关标准及本合同履行职责。</w:t>
      </w:r>
    </w:p>
    <w:p w14:paraId="544C8C68">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2.4.1 在监理与相关服务范围内，委托人和承包人提出的意见和要求，监理人应及时提出处置意见。当委托人与承包人之间发生合同争议时，监理人应协助委托人、承包人协商解决。</w:t>
      </w:r>
    </w:p>
    <w:p w14:paraId="40AC6A68">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2.4.2 当委托人与承包人之间的合同争议提交仲裁机构仲裁或人民法院审理时， 监理人应 提供必要的证明资料。</w:t>
      </w:r>
    </w:p>
    <w:p w14:paraId="71900B0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2.4.3 监理人应在专用合同条款约定的授权范围内， 处理委托人与承包人所签订合同的变更事宜。如果变更超过授权范围，应以书面形式报委托人批准。</w:t>
      </w:r>
    </w:p>
    <w:p w14:paraId="15183FE1">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在紧急情况下， 为了保护财产和人身安全， 监理人所发出的指令未能事先报委托人批准时， 应在发出指令后的 24 小时内以书面形式报委托人。</w:t>
      </w:r>
    </w:p>
    <w:p w14:paraId="39FC4E40">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2.4.4 除专用合同条款另有约定外， 监理人发现承包人的人员不能胜任本职工作的，有权要求承包人予以调换。</w:t>
      </w:r>
    </w:p>
    <w:p w14:paraId="5C42EBE1">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2.5 提交报告</w:t>
      </w:r>
    </w:p>
    <w:p w14:paraId="476AC69E">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监理人应按专用合同条款约定的种类、时间和份数向委托人提交监理与相关服务的报告。 </w:t>
      </w:r>
    </w:p>
    <w:p w14:paraId="0871F90E">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2.6 文件资料</w:t>
      </w:r>
    </w:p>
    <w:p w14:paraId="3429568D">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在本合同履行期内，监理人应在现场保留工作所用的图纸、报告及记录监理工作的相关文件。工程竣工后，应当按照档案管理规定将监理有关文件归档。</w:t>
      </w:r>
    </w:p>
    <w:p w14:paraId="4EB57A11">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2.7 使用委托人的财产</w:t>
      </w:r>
    </w:p>
    <w:p w14:paraId="55A439A3">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监理人无偿使用附录 B 中由委托人派遣的人员和提供的房屋、资料、设备。除专用合同条 款另有约定外，委托人提供的房屋、设备属于委托人的财产， 监理人应妥善使用和保管，在本合同终止时将这些房屋、设备的清单提交委托人，并按专用合同条款约定的时间和方式移交。</w:t>
      </w:r>
    </w:p>
    <w:p w14:paraId="1D30E807">
      <w:pPr>
        <w:spacing w:before="240" w:line="360" w:lineRule="auto"/>
        <w:ind w:firstLine="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．委托人的义务</w:t>
      </w:r>
    </w:p>
    <w:p w14:paraId="040BC9E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 告知</w:t>
      </w:r>
    </w:p>
    <w:p w14:paraId="4BB7891A">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委托人应在委托人与承包人签订的合同中明确监理人、总监理工程师和授予项目监理机构的权限。如有变更，应及时通知承包人。</w:t>
      </w:r>
    </w:p>
    <w:p w14:paraId="407BF56E">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 提供资料</w:t>
      </w:r>
    </w:p>
    <w:p w14:paraId="484C39B5">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委托人应按照附录B约定，无偿向监理人提供工程有关的资料。在本合同履行过程中，委托人应及时向监理人提供最新的与工程有关的资料。</w:t>
      </w:r>
    </w:p>
    <w:p w14:paraId="51601C9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 提供工作条件</w:t>
      </w:r>
    </w:p>
    <w:p w14:paraId="2F6B1B45">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委托人应为监理人完成监理与相关服务提供必要的条件。</w:t>
      </w:r>
    </w:p>
    <w:p w14:paraId="340DA85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3.3.1 委托人应按照附录 B 约定，派遣相应的人员， 提供房屋、设备， 供监理人无偿使用。</w:t>
      </w:r>
    </w:p>
    <w:p w14:paraId="44D10EC1">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3.3.2 委托人应负责协调工程建设中所有外部关系， 为监理人履行本合同提供必要的外部条件。</w:t>
      </w:r>
    </w:p>
    <w:p w14:paraId="0F2CE52D">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 委托人代表</w:t>
      </w:r>
    </w:p>
    <w:p w14:paraId="19BF1B7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委托人应授权一名熟悉工程情况的代表，负责与监理人联系。委托人应在双方签订本合同后7天内，将委托人代表的姓名和职责书面告知监理人。当委托人更换委托人代表时， 应提前7天通知监理人。</w:t>
      </w:r>
    </w:p>
    <w:p w14:paraId="7AFD1073">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3.5 委托人意见或要求</w:t>
      </w:r>
    </w:p>
    <w:p w14:paraId="28879B5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在本合同约定的监理与相关服务工作范围内，委托人对承包人的任何意见或要求应通知监理人，由监理人向承包人发出相应指令。</w:t>
      </w:r>
    </w:p>
    <w:p w14:paraId="6518B52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3.6 答复</w:t>
      </w:r>
    </w:p>
    <w:p w14:paraId="49C5DE17">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委托人应在专用合同条款约定的时间内， 对监理人以书面形式提交并要求作出决定的事宜， 给予书面答复。逾期未答复的，视为委托人认可。</w:t>
      </w:r>
    </w:p>
    <w:p w14:paraId="7F78C528">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3.7 支付</w:t>
      </w:r>
    </w:p>
    <w:p w14:paraId="34485633">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委托人应按本合同约定，向监理人支付酬金。</w:t>
      </w:r>
    </w:p>
    <w:p w14:paraId="12D8E2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违约责任</w:t>
      </w:r>
    </w:p>
    <w:p w14:paraId="1EA5DDB5">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4.1 监理人的违约责任</w:t>
      </w:r>
    </w:p>
    <w:p w14:paraId="1FE05C5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监理人未履行本合同义务的，应承担相应的责任。</w:t>
      </w:r>
    </w:p>
    <w:p w14:paraId="4413080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4.1.1 因监理人违反本合同约定给委托人造成损失的，监理人应当赔偿委托人损失。赔偿 金额的确定方法在专用合同条款中约定。监理人承担部分赔偿责任的， 其承担赔偿金额由双方协商确定。</w:t>
      </w:r>
    </w:p>
    <w:p w14:paraId="4319F1F9">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4.1.2 监理人向委托人的索赔不成立时，监理人应赔偿委托人由此发生的费用。 </w:t>
      </w:r>
    </w:p>
    <w:p w14:paraId="222BFDC5">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 委托人的违约责任</w:t>
      </w:r>
    </w:p>
    <w:p w14:paraId="110CB40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委托人未履行本合同义务的，应承担相应的责任。</w:t>
      </w:r>
    </w:p>
    <w:p w14:paraId="01591817">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4.2.1 委托人违反本合同约定造成监理人损失的，委托人应予以赔偿。</w:t>
      </w:r>
    </w:p>
    <w:p w14:paraId="69136953">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4.2.2 委托人向监理人的索赔不成立时，应赔偿监理人由此引起的费用。</w:t>
      </w:r>
    </w:p>
    <w:p w14:paraId="47AFD00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4.2.3 委托人未能按期支付酬金超过28天，应按专用合同条款约定支付逾期付款利息。</w:t>
      </w:r>
    </w:p>
    <w:p w14:paraId="03DA26CD">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4.3 除外责任</w:t>
      </w:r>
    </w:p>
    <w:p w14:paraId="3E9510F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因非监理人的原因，且监理人无过错，发生工程质量事故、安全事故、工期延误等造成的损失，监理人不承担赔偿责任。</w:t>
      </w:r>
    </w:p>
    <w:p w14:paraId="712570B1">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因不可抗力导致本合同全部或部分不能履行时，双方各自承担其因此而造成的损失、损害。</w:t>
      </w:r>
    </w:p>
    <w:p w14:paraId="6381A6EB">
      <w:pPr>
        <w:keepNext w:val="0"/>
        <w:keepLines w:val="0"/>
        <w:pageBreakBefore w:val="0"/>
        <w:widowControl w:val="0"/>
        <w:kinsoku/>
        <w:wordWrap/>
        <w:overflowPunct/>
        <w:topLinePunct w:val="0"/>
        <w:autoSpaceDE/>
        <w:autoSpaceDN/>
        <w:bidi w:val="0"/>
        <w:adjustRightInd/>
        <w:snapToGrid/>
        <w:spacing w:line="360" w:lineRule="auto"/>
        <w:ind w:firstLine="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支付</w:t>
      </w:r>
    </w:p>
    <w:p w14:paraId="2237C239">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5.1 支付货币</w:t>
      </w:r>
    </w:p>
    <w:p w14:paraId="32BF6AE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除专用合同条款另有约定外，酬金均以人民币支付。涉及外币支付的，所采用的货币种类、比例和汇率在专用合同条款中约定。</w:t>
      </w:r>
    </w:p>
    <w:p w14:paraId="7F6FA077">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5.2 支付申请</w:t>
      </w:r>
    </w:p>
    <w:p w14:paraId="5DCDD3E9">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监理人应在本合同约定的每次应付款时间的 7 天前，向委托人提交支付申请书。支付申请书应当说明当期应付款总额，并列出当期应支付的款项及其金额。</w:t>
      </w:r>
    </w:p>
    <w:p w14:paraId="682679C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5.3 支付酬金</w:t>
      </w:r>
    </w:p>
    <w:p w14:paraId="24414FD8">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支付的酬金包括正常工作酬金、附加工作酬金、合理化建议奖励金额及费用。</w:t>
      </w:r>
    </w:p>
    <w:p w14:paraId="297AA6FD">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5.4 有争议部分的付款</w:t>
      </w:r>
    </w:p>
    <w:p w14:paraId="73B2D18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委托人对监理人提交的支付申请书有异议时，应当在收到监理人提交的支付申请书后7天内，以书面形式向监理人发出异议通知。无异议部分的款项应按期支付，有异议部分的款项按第 7 条约定办理。</w:t>
      </w:r>
    </w:p>
    <w:p w14:paraId="6B0089A2">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6.</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合同生效、变更、暂停、解除与终止</w:t>
      </w:r>
    </w:p>
    <w:p w14:paraId="056461B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6.1 生效</w:t>
      </w:r>
    </w:p>
    <w:p w14:paraId="7183D403">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除法律另有规定或者专用合同条款另有约定外， 委托人和监理人的法定代表人或其授权代理人在协议书上签字并盖单位章后本合同生效。</w:t>
      </w:r>
    </w:p>
    <w:p w14:paraId="0E1F9B0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 变更</w:t>
      </w:r>
    </w:p>
    <w:p w14:paraId="2B51416A">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6.2.1 任何一方提出变更请求时，双方经协商一致后可进行变更。</w:t>
      </w:r>
    </w:p>
    <w:p w14:paraId="1568577A">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6.2.2 除不可抗力外， 因非监理人原因导致监理人履行合同期限延长、内容增加时，监理人应当将此情况与可能产生的影响及时通知委托人。增加的监理工作时间、工作内容应视为附加工作。附加工作酬金的确定方法在专用合同条款中约定。</w:t>
      </w:r>
    </w:p>
    <w:p w14:paraId="75D4BF1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6.2.3 合同生效后，如果实际情况发生变化使得监理人不能完成全部或部分工作时，监理人应立即通知委托人。除不可抗力外，其善后工作以及恢复服务的准备工作应为附加工作，附加工作酬金的确定方法在专用合同条款中约定。监理人用于恢复服务的准备时间不应超过 28 天。</w:t>
      </w:r>
    </w:p>
    <w:p w14:paraId="0EE8CE7D">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6.2.4 合同签订后，遇有与工程相关的法律法规、标准颁布或修订的，双方应遵照执行。由此引起监理与相关服务的范围、时间、酬金变化的，双方应通过协商进行相应调整。</w:t>
      </w:r>
    </w:p>
    <w:p w14:paraId="7AC91EB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6.2.5 因非监理人原因造成工程概算投资额或建筑安装工程费增加时，正常工作酬金应作相应调整。调整方法在专用合同条款中约定。</w:t>
      </w:r>
    </w:p>
    <w:p w14:paraId="646A5710">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6.2.6 因工程规模、监理范围的变化导致监理人的正常工作量减少时，正常工作酬金应作相应调整。调整方法在专用合同条款中约定。</w:t>
      </w:r>
    </w:p>
    <w:p w14:paraId="051D19DA">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 暂停与解除</w:t>
      </w:r>
    </w:p>
    <w:p w14:paraId="7FE63583">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除双方协商一致可以解除本合同外，当一方无正当理由未履行本合同约定的义务时，另一方可以根据本合同约定暂停履行本合同直至解除本合同。</w:t>
      </w:r>
    </w:p>
    <w:p w14:paraId="36DA631E">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6.3.1 在本合同有效期内，由于双方无法预见和控制的原因导致本合同全部或部分无法继续履行或继续履行已无意义，经双方协商一致，可以解除本合同或监理人的部分义务。在解除之前，监理人应作出合理安排， 使开支减至最小。</w:t>
      </w:r>
    </w:p>
    <w:p w14:paraId="18DDEB98">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因解除本合同或解除监理人的部分义务导致监理人遭受的损失，除依法可以免除责任的情</w:t>
      </w:r>
    </w:p>
    <w:p w14:paraId="0311280E">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况外，应由委托人予以补偿，补偿金额由双方协商确定。解除本合同的协议必须采取书面形式， 协议未达成之前，本合同仍然有效。</w:t>
      </w:r>
    </w:p>
    <w:p w14:paraId="6EBA366E">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6.3.2 在本合同有效期内， 因非监理人的原因导致工程施工全部或部分暂停，委托人可通 知监理人要求暂停全部或部分工作。监理人应立即安排停止工作， 并将开支减至最小。除不可抗力外，由此导致监理人遭受的损失应由委托人予以补偿。</w:t>
      </w:r>
    </w:p>
    <w:p w14:paraId="77DD7B0A">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暂停部分监理与相关服务时间超过181天，监理人可发出解除本合同约定的该部分义务的通知；暂停全部工作时间超过181天，监理人可发出解除本合同的通知， 本合同自通知到达委托人时解除。委托人应将监理与相关服务的酬金支付至本合同解除日，且应承担第 4.2 款约定的责任。</w:t>
      </w:r>
    </w:p>
    <w:p w14:paraId="36621CD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6.3.3 当监理人无正当理由未履行本合同约定的义务时，委托人应通知监理人限期改正。若委托人在监理人接到通知后的 7 天内未收到监理人书面形式的合理解释， 则可在 7 天内发出解除本合同的通知，自通知到达监理人时本合同解除。委托人应将监理与相关服务的酬金支付至限期改正通知到达监理人之日，但监理人应承担第 4.1 款约定的责任。</w:t>
      </w:r>
    </w:p>
    <w:p w14:paraId="524845A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6.3.4 监理人在专用合同条款 5.3 中约定的支付之日起28 天后仍未收到委托人按本合同约定应付的款项，可向委托人发出催付通知。委托人接到通知 14 天后仍未支付或未提出监理人可以接受的延期支付安排，监理人可向委托人发出暂停工作的通知并可自行暂停全部或部分工作。暂停工作后 14 天内监理人仍未获得委托人应付酬金或委托人的合理答复，监理人可向委托人发出解除本合同的通知， 自通知到达委托人时本合同解除。委托人应承担第4.2.3 款约定的责任。</w:t>
      </w:r>
    </w:p>
    <w:p w14:paraId="409DF660">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6.3.5 因不可抗力致使本合同部分或全部不能履行时，一方应立即通知另一方， 可暂停或解除本合同。</w:t>
      </w:r>
    </w:p>
    <w:p w14:paraId="38F66C0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6.3.6 本合同解除后，本合同约定的有关结算、清理、争议解决方式的条件仍然有效。 6.4 终止以下条件全部满足时，本合同即告终止：</w:t>
      </w:r>
    </w:p>
    <w:p w14:paraId="11C48E5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（1）监理人完成本合同约定的全部工作；</w:t>
      </w:r>
    </w:p>
    <w:p w14:paraId="56C1D67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（2）委托人与监理人结清并支付全部酬</w:t>
      </w:r>
      <w:r>
        <w:rPr>
          <w:rFonts w:hint="eastAsia" w:ascii="宋体" w:hAnsi="宋体" w:eastAsia="宋体" w:cs="宋体"/>
          <w:color w:val="auto"/>
          <w:sz w:val="24"/>
          <w:szCs w:val="24"/>
          <w:highlight w:val="none"/>
        </w:rPr>
        <w:t>金。</w:t>
      </w:r>
    </w:p>
    <w:p w14:paraId="1711A59E">
      <w:pPr>
        <w:spacing w:before="255" w:line="360" w:lineRule="auto"/>
        <w:ind w:firstLine="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7.</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争议解决</w:t>
      </w:r>
    </w:p>
    <w:p w14:paraId="60303F1D">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7.1 协商</w:t>
      </w:r>
    </w:p>
    <w:p w14:paraId="45539521">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双方应本着诚信原则协商解决彼此间的争议。</w:t>
      </w:r>
    </w:p>
    <w:p w14:paraId="0E0D8019">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7.2 调解</w:t>
      </w:r>
    </w:p>
    <w:p w14:paraId="49E9CE8A">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如果双方不能在 14 天内或双方商定的其他时间内解决本合同争议， 可以将其提交给专用合同条款约定的或事后达成协议的调解人进行调解。</w:t>
      </w:r>
    </w:p>
    <w:p w14:paraId="5A5ECC1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7.3 仲裁或诉讼</w:t>
      </w:r>
    </w:p>
    <w:p w14:paraId="64D909D5">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双方均有权不经调解直接向专用合同条款约定的仲裁机构申请仲裁或向有管辖权的人民法院提起诉讼。</w:t>
      </w:r>
    </w:p>
    <w:p w14:paraId="2A31CCED">
      <w:pPr>
        <w:spacing w:before="15" w:line="360" w:lineRule="auto"/>
        <w:ind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8.</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14:textOutline w14:w="4064" w14:cap="flat" w14:cmpd="sng" w14:algn="ctr">
            <w14:solidFill>
              <w14:srgbClr w14:val="000000"/>
            </w14:solidFill>
            <w14:prstDash w14:val="solid"/>
            <w14:miter w14:val="0"/>
          </w14:textOutline>
        </w:rPr>
        <w:t>其他</w:t>
      </w:r>
    </w:p>
    <w:p w14:paraId="2156A371">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8.1 外出考察费用</w:t>
      </w:r>
    </w:p>
    <w:p w14:paraId="7A72B751">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经委托人同意，监理人员外出考察发生的费用由委托人审核后支付。</w:t>
      </w:r>
    </w:p>
    <w:p w14:paraId="03E07269">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8.2 检测费用</w:t>
      </w:r>
    </w:p>
    <w:p w14:paraId="3E61CB4C">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委托人要求监理人进行的材料和设备检测所发生的费用， 由委托人支付，支付时间在专用 合同条款中约定。</w:t>
      </w:r>
    </w:p>
    <w:p w14:paraId="71F70A19">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8.3 咨询费用</w:t>
      </w:r>
    </w:p>
    <w:p w14:paraId="053D9162">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经委托人同意，根据工程需要由监理人组织的相关咨询论证会以及聘请相关专家等发生的 费用由委托人支付，支付时间在专用合同条款中约定。</w:t>
      </w:r>
    </w:p>
    <w:p w14:paraId="25323DB7">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8.4 奖励</w:t>
      </w:r>
    </w:p>
    <w:p w14:paraId="392A363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监理人在服务过程中提出的合理化建议， 使委托人获得经济效益的，双方在专用合同条款 中约定奖励金额的确定方法。奖励金额在合理化建议被采纳后，与最近一期的正常工作酬金同期支付。</w:t>
      </w:r>
    </w:p>
    <w:p w14:paraId="5CCFB483">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8.5 守法诚信</w:t>
      </w:r>
    </w:p>
    <w:p w14:paraId="2552561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监理人及其工作人员不得</w:t>
      </w:r>
      <w:r>
        <w:rPr>
          <w:rFonts w:hint="eastAsia" w:ascii="宋体" w:hAnsi="宋体" w:eastAsia="宋体" w:cs="宋体"/>
          <w:snapToGrid w:val="0"/>
          <w:color w:val="auto"/>
          <w:kern w:val="0"/>
          <w:sz w:val="24"/>
          <w:szCs w:val="24"/>
          <w:highlight w:val="none"/>
          <w:lang w:eastAsia="zh-CN"/>
        </w:rPr>
        <w:t>从事</w:t>
      </w:r>
      <w:r>
        <w:rPr>
          <w:rFonts w:hint="eastAsia" w:ascii="宋体" w:hAnsi="宋体" w:eastAsia="宋体" w:cs="宋体"/>
          <w:snapToGrid w:val="0"/>
          <w:color w:val="auto"/>
          <w:kern w:val="0"/>
          <w:sz w:val="24"/>
          <w:szCs w:val="24"/>
          <w:highlight w:val="none"/>
        </w:rPr>
        <w:t>与实施工程有关的第三方处获得任何经济利益。</w:t>
      </w:r>
    </w:p>
    <w:p w14:paraId="0C0EF5F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8.6 保密</w:t>
      </w:r>
    </w:p>
    <w:p w14:paraId="1FAE388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双方不得泄露对方申明的保密资料， 亦不得泄露与实施工程有关的第三方所提供的保密资料，保密事项在专用合同条款中约定。</w:t>
      </w:r>
    </w:p>
    <w:p w14:paraId="497D2355">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8.7 通知</w:t>
      </w:r>
    </w:p>
    <w:p w14:paraId="42F3946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本合同涉及的通知均应当采用书面形式，并在送达对方时生效，收件人应书面签收。 </w:t>
      </w:r>
    </w:p>
    <w:p w14:paraId="5B9CA30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8.8 著作权</w:t>
      </w:r>
    </w:p>
    <w:p w14:paraId="22B61E3B">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监理人对其编制的文件拥有著作权。</w:t>
      </w:r>
    </w:p>
    <w:p w14:paraId="7A79D729">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监理人可单独或与他人联合出版有关监理与相关服务的资料。除专用合同条款另有约定外， 如果监理人在本合同履行期间及本合同终止后两年内出版涉及本工程的有关监理与相关服务的 资料，应当征得委托人的同意。</w:t>
      </w:r>
    </w:p>
    <w:p w14:paraId="0096C902">
      <w:pPr>
        <w:keepNext/>
        <w:keepLines/>
        <w:ind w:left="283" w:leftChars="135"/>
        <w:jc w:val="center"/>
        <w:outlineLvl w:val="0"/>
        <w:rPr>
          <w:rFonts w:ascii="宋体" w:hAnsi="宋体" w:cs="Arial"/>
          <w:b/>
          <w:bCs/>
          <w:snapToGrid w:val="0"/>
          <w:color w:val="000000" w:themeColor="text1"/>
          <w:kern w:val="44"/>
          <w:sz w:val="28"/>
          <w:szCs w:val="28"/>
          <w14:textFill>
            <w14:solidFill>
              <w14:schemeClr w14:val="tx1"/>
            </w14:solidFill>
          </w14:textFill>
        </w:rPr>
      </w:pPr>
      <w:bookmarkStart w:id="510" w:name="_Toc24863"/>
      <w:bookmarkStart w:id="511" w:name="_Toc16409"/>
    </w:p>
    <w:p w14:paraId="550EBF3B">
      <w:pPr>
        <w:keepNext/>
        <w:keepLines/>
        <w:ind w:left="283" w:leftChars="135"/>
        <w:jc w:val="center"/>
        <w:outlineLvl w:val="0"/>
        <w:rPr>
          <w:rFonts w:ascii="宋体" w:hAnsi="宋体" w:cs="Arial"/>
          <w:b/>
          <w:bCs/>
          <w:snapToGrid w:val="0"/>
          <w:color w:val="000000" w:themeColor="text1"/>
          <w:kern w:val="44"/>
          <w:sz w:val="28"/>
          <w:szCs w:val="28"/>
          <w14:textFill>
            <w14:solidFill>
              <w14:schemeClr w14:val="tx1"/>
            </w14:solidFill>
          </w14:textFill>
        </w:rPr>
      </w:pPr>
      <w:r>
        <w:rPr>
          <w:rFonts w:ascii="宋体" w:hAnsi="宋体" w:cs="Arial"/>
          <w:b/>
          <w:bCs/>
          <w:snapToGrid w:val="0"/>
          <w:color w:val="000000" w:themeColor="text1"/>
          <w:kern w:val="44"/>
          <w:sz w:val="28"/>
          <w:szCs w:val="28"/>
          <w14:textFill>
            <w14:solidFill>
              <w14:schemeClr w14:val="tx1"/>
            </w14:solidFill>
          </w14:textFill>
        </w:rPr>
        <w:t>第</w:t>
      </w:r>
      <w:r>
        <w:rPr>
          <w:rFonts w:hint="eastAsia" w:ascii="宋体" w:hAnsi="宋体" w:cs="Arial"/>
          <w:b/>
          <w:bCs/>
          <w:snapToGrid w:val="0"/>
          <w:color w:val="000000" w:themeColor="text1"/>
          <w:kern w:val="44"/>
          <w:sz w:val="28"/>
          <w:szCs w:val="28"/>
          <w14:textFill>
            <w14:solidFill>
              <w14:schemeClr w14:val="tx1"/>
            </w14:solidFill>
          </w14:textFill>
        </w:rPr>
        <w:t>三</w:t>
      </w:r>
      <w:r>
        <w:rPr>
          <w:rFonts w:ascii="宋体" w:hAnsi="宋体" w:cs="Arial"/>
          <w:b/>
          <w:bCs/>
          <w:snapToGrid w:val="0"/>
          <w:color w:val="000000" w:themeColor="text1"/>
          <w:kern w:val="44"/>
          <w:sz w:val="28"/>
          <w:szCs w:val="28"/>
          <w14:textFill>
            <w14:solidFill>
              <w14:schemeClr w14:val="tx1"/>
            </w14:solidFill>
          </w14:textFill>
        </w:rPr>
        <w:t xml:space="preserve">部分  </w:t>
      </w:r>
      <w:bookmarkEnd w:id="495"/>
      <w:bookmarkEnd w:id="496"/>
      <w:bookmarkEnd w:id="497"/>
      <w:bookmarkEnd w:id="498"/>
      <w:bookmarkEnd w:id="499"/>
      <w:bookmarkEnd w:id="500"/>
      <w:bookmarkEnd w:id="501"/>
      <w:bookmarkEnd w:id="502"/>
      <w:bookmarkEnd w:id="503"/>
      <w:bookmarkEnd w:id="504"/>
      <w:r>
        <w:rPr>
          <w:rFonts w:hint="eastAsia"/>
          <w:b/>
          <w:color w:val="000000"/>
          <w:sz w:val="28"/>
          <w:szCs w:val="28"/>
        </w:rPr>
        <w:t>技术标准和工程建设标准</w:t>
      </w:r>
      <w:bookmarkEnd w:id="510"/>
      <w:bookmarkEnd w:id="511"/>
    </w:p>
    <w:p w14:paraId="72DB7E37">
      <w:pPr>
        <w:rPr>
          <w:rFonts w:ascii="宋体" w:hAnsi="宋体"/>
          <w:snapToGrid w:val="0"/>
          <w:color w:val="000000" w:themeColor="text1"/>
          <w14:textFill>
            <w14:solidFill>
              <w14:schemeClr w14:val="tx1"/>
            </w14:solidFill>
          </w14:textFill>
        </w:rPr>
      </w:pPr>
    </w:p>
    <w:p w14:paraId="3A545B85">
      <w:pPr>
        <w:rPr>
          <w:rFonts w:ascii="宋体" w:hAnsi="宋体"/>
          <w:snapToGrid w:val="0"/>
          <w:color w:val="000000" w:themeColor="text1"/>
          <w14:textFill>
            <w14:solidFill>
              <w14:schemeClr w14:val="tx1"/>
            </w14:solidFill>
          </w14:textFill>
        </w:rPr>
      </w:pPr>
    </w:p>
    <w:p w14:paraId="18A74F2F">
      <w:pPr>
        <w:rPr>
          <w:rFonts w:ascii="宋体" w:hAnsi="宋体"/>
          <w:snapToGrid w:val="0"/>
          <w:color w:val="000000" w:themeColor="text1"/>
          <w14:textFill>
            <w14:solidFill>
              <w14:schemeClr w14:val="tx1"/>
            </w14:solidFill>
          </w14:textFill>
        </w:rPr>
      </w:pPr>
    </w:p>
    <w:p w14:paraId="6F758B94">
      <w:pPr>
        <w:widowControl/>
        <w:numPr>
          <w:ilvl w:val="0"/>
          <w:numId w:val="54"/>
        </w:numPr>
        <w:tabs>
          <w:tab w:val="left" w:pos="2268"/>
        </w:tabs>
        <w:spacing w:line="360" w:lineRule="auto"/>
        <w:ind w:left="2268" w:hanging="1134"/>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监理人</w:t>
      </w:r>
      <w:r>
        <w:rPr>
          <w:rFonts w:hint="eastAsia" w:ascii="宋体" w:hAnsi="宋体"/>
          <w:color w:val="000000" w:themeColor="text1"/>
          <w:sz w:val="24"/>
          <w14:textFill>
            <w14:solidFill>
              <w14:schemeClr w14:val="tx1"/>
            </w14:solidFill>
          </w14:textFill>
        </w:rPr>
        <w:t>的工作范围</w:t>
      </w:r>
    </w:p>
    <w:p w14:paraId="26DF95AE">
      <w:pPr>
        <w:widowControl/>
        <w:numPr>
          <w:ilvl w:val="0"/>
          <w:numId w:val="54"/>
        </w:numPr>
        <w:tabs>
          <w:tab w:val="left" w:pos="2268"/>
        </w:tabs>
        <w:spacing w:line="360" w:lineRule="auto"/>
        <w:ind w:left="2268" w:hanging="1134"/>
        <w:jc w:val="left"/>
        <w:rPr>
          <w:rFonts w:hint="eastAsia" w:ascii="宋体" w:hAnsi="宋体" w:eastAsia="宋体" w:cs="Times New Roman"/>
          <w:color w:val="000000" w:themeColor="text1"/>
          <w:sz w:val="24"/>
          <w:lang w:val="en-US" w:eastAsia="zh-CN"/>
          <w14:textFill>
            <w14:solidFill>
              <w14:schemeClr w14:val="tx1"/>
            </w14:solidFill>
          </w14:textFill>
        </w:rPr>
      </w:pPr>
      <w:r>
        <w:rPr>
          <w:rFonts w:hint="eastAsia" w:ascii="宋体" w:hAnsi="宋体" w:eastAsia="宋体" w:cs="Times New Roman"/>
          <w:color w:val="000000" w:themeColor="text1"/>
          <w:sz w:val="24"/>
          <w:lang w:val="en-US" w:eastAsia="zh-CN"/>
          <w14:textFill>
            <w14:solidFill>
              <w14:schemeClr w14:val="tx1"/>
            </w14:solidFill>
          </w14:textFill>
        </w:rPr>
        <w:t>适用于技术标准和工程建设标准</w:t>
      </w:r>
    </w:p>
    <w:p w14:paraId="7A2D5B97">
      <w:pPr>
        <w:widowControl/>
        <w:numPr>
          <w:ilvl w:val="0"/>
          <w:numId w:val="0"/>
        </w:numPr>
        <w:tabs>
          <w:tab w:val="left" w:pos="1451"/>
          <w:tab w:val="left" w:pos="2268"/>
        </w:tabs>
        <w:spacing w:line="360" w:lineRule="auto"/>
        <w:ind w:leftChars="471"/>
        <w:jc w:val="left"/>
        <w:rPr>
          <w:rFonts w:ascii="宋体" w:hAnsi="宋体"/>
          <w:color w:val="000000" w:themeColor="text1"/>
          <w:szCs w:val="22"/>
          <w14:textFill>
            <w14:solidFill>
              <w14:schemeClr w14:val="tx1"/>
            </w14:solidFill>
          </w14:textFill>
        </w:rPr>
      </w:pPr>
    </w:p>
    <w:p w14:paraId="7C912E8B">
      <w:pPr>
        <w:pStyle w:val="3"/>
        <w:jc w:val="center"/>
        <w:rPr>
          <w:snapToGrid w:val="0"/>
          <w:sz w:val="28"/>
          <w:szCs w:val="28"/>
        </w:rPr>
      </w:pPr>
      <w:r>
        <w:rPr>
          <w:snapToGrid w:val="0"/>
        </w:rPr>
        <w:br w:type="page"/>
      </w:r>
      <w:bookmarkStart w:id="512" w:name="_Toc5393"/>
      <w:bookmarkStart w:id="513" w:name="_Toc336434071"/>
      <w:bookmarkStart w:id="514" w:name="_Toc8292"/>
      <w:bookmarkStart w:id="515" w:name="_Toc19007"/>
      <w:bookmarkStart w:id="516" w:name="_Toc341125024"/>
      <w:bookmarkStart w:id="517" w:name="_Toc19698"/>
      <w:bookmarkStart w:id="518" w:name="_Toc258420559"/>
      <w:bookmarkStart w:id="519" w:name="_Toc14553"/>
      <w:bookmarkStart w:id="520" w:name="_Toc336433265"/>
      <w:bookmarkStart w:id="521" w:name="_Toc9605"/>
      <w:bookmarkStart w:id="522" w:name="_Toc4758"/>
      <w:bookmarkStart w:id="523" w:name="_Toc3045"/>
      <w:bookmarkStart w:id="524" w:name="_Toc28230"/>
      <w:bookmarkStart w:id="525" w:name="_Toc17549"/>
      <w:bookmarkStart w:id="526" w:name="_Toc336440456"/>
      <w:bookmarkStart w:id="527" w:name="_Toc336432208"/>
      <w:r>
        <w:rPr>
          <w:rFonts w:hint="eastAsia" w:asciiTheme="majorEastAsia" w:hAnsiTheme="majorEastAsia" w:eastAsiaTheme="majorEastAsia" w:cstheme="majorEastAsia"/>
          <w:snapToGrid w:val="0"/>
          <w:sz w:val="28"/>
          <w:szCs w:val="28"/>
        </w:rPr>
        <w:t>第一章</w:t>
      </w:r>
      <w:r>
        <w:rPr>
          <w:rFonts w:hint="eastAsia" w:asciiTheme="majorEastAsia" w:hAnsiTheme="majorEastAsia" w:eastAsiaTheme="majorEastAsia" w:cstheme="majorEastAsia"/>
          <w:snapToGrid w:val="0"/>
          <w:sz w:val="28"/>
          <w:szCs w:val="28"/>
          <w:lang w:val="en-US" w:eastAsia="zh-CN"/>
        </w:rPr>
        <w:t>监理</w:t>
      </w:r>
      <w:r>
        <w:rPr>
          <w:rFonts w:hint="eastAsia" w:asciiTheme="majorEastAsia" w:hAnsiTheme="majorEastAsia" w:eastAsiaTheme="majorEastAsia" w:cstheme="majorEastAsia"/>
          <w:snapToGrid w:val="0"/>
          <w:sz w:val="28"/>
          <w:szCs w:val="28"/>
          <w:lang w:eastAsia="zh-CN"/>
        </w:rPr>
        <w:t>人</w:t>
      </w:r>
      <w:r>
        <w:rPr>
          <w:rFonts w:hint="eastAsia" w:asciiTheme="majorEastAsia" w:hAnsiTheme="majorEastAsia" w:eastAsiaTheme="majorEastAsia" w:cstheme="majorEastAsia"/>
          <w:snapToGrid w:val="0"/>
          <w:sz w:val="28"/>
          <w:szCs w:val="28"/>
        </w:rPr>
        <w:t>的工作范围</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7C2BEB8A">
      <w:pPr>
        <w:keepNext/>
        <w:keepLines/>
        <w:numPr>
          <w:ilvl w:val="3"/>
          <w:numId w:val="55"/>
        </w:numPr>
        <w:spacing w:line="300" w:lineRule="auto"/>
        <w:ind w:left="851" w:hanging="851"/>
        <w:outlineLvl w:val="2"/>
        <w:rPr>
          <w:rFonts w:hint="eastAsia" w:ascii="宋体" w:hAnsi="宋体" w:eastAsia="宋体" w:cs="宋体"/>
          <w:b/>
          <w:bCs/>
          <w:snapToGrid w:val="0"/>
          <w:color w:val="000000" w:themeColor="text1"/>
          <w:sz w:val="24"/>
          <w:szCs w:val="24"/>
          <w14:textFill>
            <w14:solidFill>
              <w14:schemeClr w14:val="tx1"/>
            </w14:solidFill>
          </w14:textFill>
        </w:rPr>
      </w:pPr>
      <w:bookmarkStart w:id="528" w:name="_Toc214933274"/>
      <w:bookmarkStart w:id="529" w:name="_Toc336433266"/>
      <w:bookmarkStart w:id="530" w:name="_Toc22500"/>
      <w:bookmarkStart w:id="531" w:name="_Toc336440457"/>
      <w:bookmarkStart w:id="532" w:name="_Toc11657"/>
      <w:bookmarkStart w:id="533" w:name="_Toc341125025"/>
      <w:bookmarkStart w:id="534" w:name="_Toc336434072"/>
      <w:bookmarkStart w:id="535" w:name="_Toc14193"/>
      <w:bookmarkStart w:id="536" w:name="_Toc258420560"/>
      <w:bookmarkStart w:id="537" w:name="_Toc16134"/>
      <w:bookmarkStart w:id="538" w:name="_Toc29721"/>
      <w:bookmarkStart w:id="539" w:name="_Toc24567"/>
      <w:bookmarkStart w:id="540" w:name="_Toc336432209"/>
      <w:bookmarkStart w:id="541" w:name="_Toc18974"/>
      <w:bookmarkStart w:id="542" w:name="_Toc24914"/>
      <w:bookmarkStart w:id="543" w:name="_Toc336433280"/>
      <w:bookmarkStart w:id="544" w:name="_Toc258420575"/>
      <w:bookmarkStart w:id="545" w:name="_Toc336432223"/>
      <w:bookmarkStart w:id="546" w:name="_Toc30905"/>
      <w:bookmarkStart w:id="547" w:name="_Toc336440471"/>
      <w:bookmarkStart w:id="548" w:name="_Toc336434086"/>
      <w:bookmarkStart w:id="549" w:name="_Toc29207"/>
      <w:bookmarkStart w:id="550" w:name="_Toc341125039"/>
      <w:r>
        <w:rPr>
          <w:rFonts w:hint="eastAsia" w:ascii="宋体" w:hAnsi="宋体" w:eastAsia="宋体" w:cs="宋体"/>
          <w:b/>
          <w:bCs/>
          <w:snapToGrid w:val="0"/>
          <w:color w:val="000000" w:themeColor="text1"/>
          <w:sz w:val="24"/>
          <w:szCs w:val="24"/>
          <w14:textFill>
            <w14:solidFill>
              <w14:schemeClr w14:val="tx1"/>
            </w14:solidFill>
          </w14:textFill>
        </w:rPr>
        <w:t>工作范围</w:t>
      </w:r>
      <w:bookmarkEnd w:id="528"/>
      <w:r>
        <w:rPr>
          <w:rFonts w:hint="eastAsia" w:ascii="宋体" w:hAnsi="宋体" w:eastAsia="宋体" w:cs="宋体"/>
          <w:b/>
          <w:bCs/>
          <w:snapToGrid w:val="0"/>
          <w:color w:val="000000" w:themeColor="text1"/>
          <w:sz w:val="24"/>
          <w:szCs w:val="24"/>
          <w14:textFill>
            <w14:solidFill>
              <w14:schemeClr w14:val="tx1"/>
            </w14:solidFill>
          </w14:textFill>
        </w:rPr>
        <w:t>说明</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2E013650">
      <w:pPr>
        <w:autoSpaceDE w:val="0"/>
        <w:autoSpaceDN w:val="0"/>
        <w:adjustRightInd w:val="0"/>
        <w:spacing w:line="300" w:lineRule="auto"/>
        <w:ind w:left="851"/>
        <w:jc w:val="left"/>
        <w:rPr>
          <w:rFonts w:hint="eastAsia" w:ascii="宋体" w:hAnsi="宋体" w:eastAsia="宋体" w:cs="宋体"/>
          <w:snapToGrid w:val="0"/>
          <w:color w:val="000000" w:themeColor="text1"/>
          <w:sz w:val="24"/>
          <w:szCs w:val="24"/>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本款给出的工程范围介绍不应认为是绝对准确的，本工程的实际情况应以有合同约束力的图纸为准。本款中由</w:t>
      </w:r>
      <w:r>
        <w:rPr>
          <w:rFonts w:hint="eastAsia" w:ascii="宋体" w:hAnsi="宋体" w:cs="宋体"/>
          <w:snapToGrid w:val="0"/>
          <w:color w:val="000000" w:themeColor="text1"/>
          <w:kern w:val="0"/>
          <w:sz w:val="24"/>
          <w:szCs w:val="24"/>
          <w:lang w:eastAsia="zh-CN"/>
          <w14:textFill>
            <w14:solidFill>
              <w14:schemeClr w14:val="tx1"/>
            </w14:solidFill>
          </w14:textFill>
        </w:rPr>
        <w:t>发包人</w:t>
      </w:r>
      <w:r>
        <w:rPr>
          <w:rFonts w:hint="eastAsia" w:ascii="宋体" w:hAnsi="宋体" w:eastAsia="宋体" w:cs="宋体"/>
          <w:snapToGrid w:val="0"/>
          <w:color w:val="000000" w:themeColor="text1"/>
          <w:kern w:val="0"/>
          <w:sz w:val="24"/>
          <w:szCs w:val="24"/>
          <w14:textFill>
            <w14:solidFill>
              <w14:schemeClr w14:val="tx1"/>
            </w14:solidFill>
          </w14:textFill>
        </w:rPr>
        <w:t>提供的数据和信息仅供</w:t>
      </w:r>
      <w:r>
        <w:rPr>
          <w:rFonts w:hint="eastAsia" w:ascii="宋体" w:hAnsi="宋体" w:cs="宋体"/>
          <w:snapToGrid w:val="0"/>
          <w:color w:val="000000" w:themeColor="text1"/>
          <w:kern w:val="0"/>
          <w:sz w:val="24"/>
          <w:szCs w:val="24"/>
          <w:lang w:eastAsia="zh-CN"/>
          <w14:textFill>
            <w14:solidFill>
              <w14:schemeClr w14:val="tx1"/>
            </w14:solidFill>
          </w14:textFill>
        </w:rPr>
        <w:t>承包人</w:t>
      </w:r>
      <w:r>
        <w:rPr>
          <w:rFonts w:hint="eastAsia" w:ascii="宋体" w:hAnsi="宋体" w:eastAsia="宋体" w:cs="宋体"/>
          <w:snapToGrid w:val="0"/>
          <w:color w:val="000000" w:themeColor="text1"/>
          <w:kern w:val="0"/>
          <w:sz w:val="24"/>
          <w:szCs w:val="24"/>
          <w14:textFill>
            <w14:solidFill>
              <w14:schemeClr w14:val="tx1"/>
            </w14:solidFill>
          </w14:textFill>
        </w:rPr>
        <w:t>参考，最终的数据和信息以正式设计数据为准。若存在差异，</w:t>
      </w:r>
      <w:r>
        <w:rPr>
          <w:rFonts w:hint="eastAsia" w:ascii="宋体" w:hAnsi="宋体" w:cs="宋体"/>
          <w:snapToGrid w:val="0"/>
          <w:color w:val="000000" w:themeColor="text1"/>
          <w:kern w:val="0"/>
          <w:sz w:val="24"/>
          <w:szCs w:val="24"/>
          <w:lang w:eastAsia="zh-CN"/>
          <w14:textFill>
            <w14:solidFill>
              <w14:schemeClr w14:val="tx1"/>
            </w14:solidFill>
          </w14:textFill>
        </w:rPr>
        <w:t>承包人</w:t>
      </w:r>
      <w:r>
        <w:rPr>
          <w:rFonts w:hint="eastAsia" w:ascii="宋体" w:hAnsi="宋体" w:eastAsia="宋体" w:cs="宋体"/>
          <w:snapToGrid w:val="0"/>
          <w:color w:val="000000" w:themeColor="text1"/>
          <w:kern w:val="0"/>
          <w:sz w:val="24"/>
          <w:szCs w:val="24"/>
          <w14:textFill>
            <w14:solidFill>
              <w14:schemeClr w14:val="tx1"/>
            </w14:solidFill>
          </w14:textFill>
        </w:rPr>
        <w:t>无权向</w:t>
      </w:r>
      <w:r>
        <w:rPr>
          <w:rFonts w:hint="eastAsia" w:ascii="宋体" w:hAnsi="宋体" w:cs="宋体"/>
          <w:snapToGrid w:val="0"/>
          <w:color w:val="000000" w:themeColor="text1"/>
          <w:kern w:val="0"/>
          <w:sz w:val="24"/>
          <w:szCs w:val="24"/>
          <w:lang w:eastAsia="zh-CN"/>
          <w14:textFill>
            <w14:solidFill>
              <w14:schemeClr w14:val="tx1"/>
            </w14:solidFill>
          </w14:textFill>
        </w:rPr>
        <w:t>发包人</w:t>
      </w:r>
      <w:r>
        <w:rPr>
          <w:rFonts w:hint="eastAsia" w:ascii="宋体" w:hAnsi="宋体" w:eastAsia="宋体" w:cs="宋体"/>
          <w:snapToGrid w:val="0"/>
          <w:color w:val="000000" w:themeColor="text1"/>
          <w:kern w:val="0"/>
          <w:sz w:val="24"/>
          <w:szCs w:val="24"/>
          <w14:textFill>
            <w14:solidFill>
              <w14:schemeClr w14:val="tx1"/>
            </w14:solidFill>
          </w14:textFill>
        </w:rPr>
        <w:t>主张任何免责及索赔请求，</w:t>
      </w:r>
      <w:r>
        <w:rPr>
          <w:rFonts w:hint="eastAsia" w:ascii="宋体" w:hAnsi="宋体" w:cs="宋体"/>
          <w:snapToGrid w:val="0"/>
          <w:color w:val="000000" w:themeColor="text1"/>
          <w:kern w:val="0"/>
          <w:sz w:val="24"/>
          <w:szCs w:val="24"/>
          <w:lang w:eastAsia="zh-CN"/>
          <w14:textFill>
            <w14:solidFill>
              <w14:schemeClr w14:val="tx1"/>
            </w14:solidFill>
          </w14:textFill>
        </w:rPr>
        <w:t>发包人</w:t>
      </w:r>
      <w:r>
        <w:rPr>
          <w:rFonts w:hint="eastAsia" w:ascii="宋体" w:hAnsi="宋体" w:eastAsia="宋体" w:cs="宋体"/>
          <w:snapToGrid w:val="0"/>
          <w:color w:val="000000" w:themeColor="text1"/>
          <w:kern w:val="0"/>
          <w:sz w:val="24"/>
          <w:szCs w:val="24"/>
          <w14:textFill>
            <w14:solidFill>
              <w14:schemeClr w14:val="tx1"/>
            </w14:solidFill>
          </w14:textFill>
        </w:rPr>
        <w:t>也不承担因本款对任何数据或设计做法等的错误描述而可能给任何他方带来的损失或损害的责任。以下给出的本工程的介绍和工作内容的描述不应认为是全面的和巨细无遗的。</w:t>
      </w:r>
      <w:r>
        <w:rPr>
          <w:rFonts w:hint="eastAsia" w:ascii="宋体" w:hAnsi="宋体" w:cs="宋体"/>
          <w:snapToGrid w:val="0"/>
          <w:color w:val="000000" w:themeColor="text1"/>
          <w:kern w:val="0"/>
          <w:sz w:val="24"/>
          <w:szCs w:val="24"/>
          <w:lang w:eastAsia="zh-CN"/>
          <w14:textFill>
            <w14:solidFill>
              <w14:schemeClr w14:val="tx1"/>
            </w14:solidFill>
          </w14:textFill>
        </w:rPr>
        <w:t>承包人</w:t>
      </w:r>
      <w:r>
        <w:rPr>
          <w:rFonts w:hint="eastAsia" w:ascii="宋体" w:hAnsi="宋体" w:eastAsia="宋体" w:cs="宋体"/>
          <w:snapToGrid w:val="0"/>
          <w:color w:val="000000" w:themeColor="text1"/>
          <w:kern w:val="0"/>
          <w:sz w:val="24"/>
          <w:szCs w:val="24"/>
          <w14:textFill>
            <w14:solidFill>
              <w14:schemeClr w14:val="tx1"/>
            </w14:solidFill>
          </w14:textFill>
        </w:rPr>
        <w:t>被认为已详细阅读过构成本工程合同文件的其它有关文件，尤其是已充分研究了合同图纸并了解了工程的内容。</w:t>
      </w:r>
    </w:p>
    <w:p w14:paraId="381D2C2B">
      <w:pPr>
        <w:keepNext/>
        <w:keepLines/>
        <w:numPr>
          <w:ilvl w:val="3"/>
          <w:numId w:val="55"/>
        </w:numPr>
        <w:spacing w:line="300" w:lineRule="auto"/>
        <w:ind w:left="851" w:hanging="851"/>
        <w:outlineLvl w:val="2"/>
        <w:rPr>
          <w:rFonts w:hint="eastAsia" w:ascii="宋体" w:hAnsi="宋体" w:eastAsia="宋体" w:cs="宋体"/>
          <w:b/>
          <w:bCs/>
          <w:snapToGrid w:val="0"/>
          <w:color w:val="000000" w:themeColor="text1"/>
          <w:sz w:val="24"/>
          <w:szCs w:val="24"/>
          <w14:textFill>
            <w14:solidFill>
              <w14:schemeClr w14:val="tx1"/>
            </w14:solidFill>
          </w14:textFill>
        </w:rPr>
      </w:pPr>
      <w:bookmarkStart w:id="551" w:name="_Toc341125026"/>
      <w:bookmarkStart w:id="552" w:name="_Toc258420561"/>
      <w:bookmarkStart w:id="553" w:name="_Toc8660"/>
      <w:bookmarkStart w:id="554" w:name="_Toc16011"/>
      <w:bookmarkStart w:id="555" w:name="_Toc9038"/>
      <w:bookmarkStart w:id="556" w:name="_Toc14939"/>
      <w:bookmarkStart w:id="557" w:name="_Toc506"/>
      <w:bookmarkStart w:id="558" w:name="_Toc336433267"/>
      <w:bookmarkStart w:id="559" w:name="_Toc336440458"/>
      <w:bookmarkStart w:id="560" w:name="_Toc5654"/>
      <w:bookmarkStart w:id="561" w:name="_Toc336432210"/>
      <w:bookmarkStart w:id="562" w:name="_Toc3005"/>
      <w:bookmarkStart w:id="563" w:name="_Toc3099"/>
      <w:bookmarkStart w:id="564" w:name="_Toc336434073"/>
      <w:r>
        <w:rPr>
          <w:rFonts w:hint="eastAsia" w:ascii="宋体" w:hAnsi="宋体" w:eastAsia="宋体" w:cs="宋体"/>
          <w:b/>
          <w:bCs/>
          <w:snapToGrid w:val="0"/>
          <w:color w:val="000000" w:themeColor="text1"/>
          <w:sz w:val="24"/>
          <w:szCs w:val="24"/>
          <w14:textFill>
            <w14:solidFill>
              <w14:schemeClr w14:val="tx1"/>
            </w14:solidFill>
          </w14:textFill>
        </w:rPr>
        <w:t>工程内容</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17514487">
      <w:pPr>
        <w:autoSpaceDE w:val="0"/>
        <w:autoSpaceDN w:val="0"/>
        <w:adjustRightInd w:val="0"/>
        <w:spacing w:line="300" w:lineRule="auto"/>
        <w:ind w:left="851"/>
        <w:jc w:val="left"/>
        <w:rPr>
          <w:rFonts w:hint="eastAsia" w:ascii="宋体" w:hAnsi="宋体" w:eastAsia="宋体" w:cs="宋体"/>
          <w:snapToGrid w:val="0"/>
          <w:color w:val="000000" w:themeColor="text1"/>
          <w:kern w:val="0"/>
          <w:sz w:val="24"/>
          <w:szCs w:val="24"/>
          <w14:textFill>
            <w14:solidFill>
              <w14:schemeClr w14:val="tx1"/>
            </w14:solidFill>
          </w14:textFill>
        </w:rPr>
      </w:pPr>
      <w:r>
        <w:rPr>
          <w:rFonts w:hint="eastAsia" w:ascii="宋体" w:hAnsi="宋体" w:eastAsia="宋体" w:cs="宋体"/>
          <w:snapToGrid w:val="0"/>
          <w:color w:val="000000" w:themeColor="text1"/>
          <w:kern w:val="0"/>
          <w:sz w:val="24"/>
          <w:szCs w:val="24"/>
          <w14:textFill>
            <w14:solidFill>
              <w14:schemeClr w14:val="tx1"/>
            </w14:solidFill>
          </w14:textFill>
        </w:rPr>
        <w:t>本合同工程为</w:t>
      </w:r>
      <w:r>
        <w:rPr>
          <w:rFonts w:hint="eastAsia" w:ascii="宋体" w:hAnsi="宋体" w:eastAsia="宋体" w:cs="宋体"/>
          <w:i w:val="0"/>
          <w:iCs w:val="0"/>
          <w:snapToGrid w:val="0"/>
          <w:color w:val="000000" w:themeColor="text1"/>
          <w:kern w:val="0"/>
          <w:sz w:val="24"/>
          <w:szCs w:val="24"/>
          <w:u w:val="single"/>
          <w:lang w:val="en-US" w:eastAsia="zh-CN"/>
          <w14:textFill>
            <w14:solidFill>
              <w14:schemeClr w14:val="tx1"/>
            </w14:solidFill>
          </w14:textFill>
        </w:rPr>
        <w:t>重庆海联职业技术学院两江校区项目</w:t>
      </w:r>
      <w:r>
        <w:rPr>
          <w:rFonts w:hint="eastAsia" w:ascii="宋体" w:hAnsi="宋体" w:cs="宋体"/>
          <w:i w:val="0"/>
          <w:iCs w:val="0"/>
          <w:snapToGrid w:val="0"/>
          <w:color w:val="000000" w:themeColor="text1"/>
          <w:kern w:val="0"/>
          <w:sz w:val="24"/>
          <w:szCs w:val="24"/>
          <w:u w:val="single"/>
          <w:lang w:val="en-US" w:eastAsia="zh-CN"/>
          <w14:textFill>
            <w14:solidFill>
              <w14:schemeClr w14:val="tx1"/>
            </w14:solidFill>
          </w14:textFill>
        </w:rPr>
        <w:t>监理咨询服务</w:t>
      </w:r>
      <w:r>
        <w:rPr>
          <w:rFonts w:hint="eastAsia" w:ascii="宋体" w:hAnsi="宋体" w:eastAsia="宋体" w:cs="宋体"/>
          <w:snapToGrid w:val="0"/>
          <w:color w:val="000000" w:themeColor="text1"/>
          <w:kern w:val="0"/>
          <w:sz w:val="24"/>
          <w:szCs w:val="24"/>
          <w14:textFill>
            <w14:solidFill>
              <w14:schemeClr w14:val="tx1"/>
            </w14:solidFill>
          </w14:textFill>
        </w:rPr>
        <w:t>专业分包工程，其承包范围包括：</w:t>
      </w:r>
      <w:bookmarkStart w:id="565" w:name="_Toc258420568"/>
      <w:r>
        <w:rPr>
          <w:rFonts w:hint="eastAsia" w:ascii="宋体" w:hAnsi="宋体" w:eastAsia="宋体" w:cs="宋体"/>
          <w:snapToGrid w:val="0"/>
          <w:color w:val="000000" w:themeColor="text1"/>
          <w:kern w:val="0"/>
          <w:sz w:val="24"/>
          <w:szCs w:val="24"/>
          <w:u w:val="single"/>
          <w:lang w:eastAsia="zh-CN"/>
          <w14:textFill>
            <w14:solidFill>
              <w14:schemeClr w14:val="tx1"/>
            </w14:solidFill>
          </w14:textFill>
        </w:rPr>
        <w:t>包括但不限于</w:t>
      </w:r>
      <w:r>
        <w:rPr>
          <w:rFonts w:hint="eastAsia" w:ascii="宋体" w:hAnsi="宋体"/>
          <w:b w:val="0"/>
          <w:bCs w:val="0"/>
          <w:sz w:val="24"/>
          <w:szCs w:val="24"/>
          <w:u w:val="single"/>
          <w:lang w:val="en-US" w:eastAsia="zh-CN"/>
        </w:rPr>
        <w:t>全过程监理咨询服务，包括但不限于建筑工程、市政工程、安装工程、装饰装修工程、园林工程及景观劳务分包等全部内容的</w:t>
      </w:r>
      <w:r>
        <w:rPr>
          <w:rFonts w:hint="default" w:ascii="宋体" w:hAnsi="宋体"/>
          <w:b w:val="0"/>
          <w:bCs w:val="0"/>
          <w:sz w:val="24"/>
          <w:szCs w:val="24"/>
          <w:u w:val="single"/>
          <w:lang w:val="en-US" w:eastAsia="zh-CN"/>
        </w:rPr>
        <w:t>工程全过程</w:t>
      </w:r>
      <w:r>
        <w:rPr>
          <w:rFonts w:hint="eastAsia" w:ascii="宋体" w:hAnsi="宋体"/>
          <w:b w:val="0"/>
          <w:bCs w:val="0"/>
          <w:sz w:val="24"/>
          <w:szCs w:val="24"/>
          <w:u w:val="single"/>
          <w:lang w:val="en-US" w:eastAsia="zh-CN"/>
        </w:rPr>
        <w:t>监理咨询服务</w:t>
      </w:r>
      <w:r>
        <w:rPr>
          <w:rFonts w:hint="eastAsia" w:ascii="宋体" w:hAnsi="宋体" w:eastAsia="宋体" w:cs="宋体"/>
          <w:snapToGrid w:val="0"/>
          <w:color w:val="000000" w:themeColor="text1"/>
          <w:kern w:val="0"/>
          <w:sz w:val="24"/>
          <w:szCs w:val="24"/>
          <w14:textFill>
            <w14:solidFill>
              <w14:schemeClr w14:val="tx1"/>
            </w14:solidFill>
          </w14:textFill>
        </w:rPr>
        <w:t>。</w:t>
      </w:r>
    </w:p>
    <w:p w14:paraId="6B94FD92">
      <w:pPr>
        <w:autoSpaceDE w:val="0"/>
        <w:autoSpaceDN w:val="0"/>
        <w:adjustRightInd w:val="0"/>
        <w:spacing w:line="300" w:lineRule="auto"/>
        <w:ind w:left="850" w:leftChars="405"/>
        <w:jc w:val="left"/>
        <w:rPr>
          <w:rFonts w:ascii="宋体" w:hAnsi="宋体" w:cs="Arial"/>
          <w:b/>
          <w:bCs/>
          <w:snapToGrid w:val="0"/>
          <w:color w:val="000000" w:themeColor="text1"/>
          <w:szCs w:val="21"/>
          <w:highlight w:val="yellow"/>
          <w14:textFill>
            <w14:solidFill>
              <w14:schemeClr w14:val="tx1"/>
            </w14:solidFill>
          </w14:textFill>
        </w:rPr>
        <w:sectPr>
          <w:headerReference r:id="rId16" w:type="default"/>
          <w:footerReference r:id="rId17" w:type="default"/>
          <w:pgSz w:w="11906" w:h="16838"/>
          <w:pgMar w:top="1134" w:right="1134" w:bottom="1134" w:left="1418" w:header="851" w:footer="624" w:gutter="0"/>
          <w:pgNumType w:fmt="decimal"/>
          <w:cols w:space="425" w:num="1"/>
          <w:docGrid w:linePitch="312" w:charSpace="0"/>
        </w:sectPr>
      </w:pPr>
    </w:p>
    <w:bookmarkEnd w:id="505"/>
    <w:bookmarkEnd w:id="506"/>
    <w:bookmarkEnd w:id="507"/>
    <w:bookmarkEnd w:id="508"/>
    <w:bookmarkEnd w:id="509"/>
    <w:bookmarkEnd w:id="543"/>
    <w:bookmarkEnd w:id="544"/>
    <w:bookmarkEnd w:id="545"/>
    <w:bookmarkEnd w:id="546"/>
    <w:bookmarkEnd w:id="547"/>
    <w:bookmarkEnd w:id="548"/>
    <w:bookmarkEnd w:id="549"/>
    <w:bookmarkEnd w:id="550"/>
    <w:bookmarkEnd w:id="565"/>
    <w:p w14:paraId="55269C8A">
      <w:pPr>
        <w:keepNext/>
        <w:keepLines/>
        <w:spacing w:before="120" w:beforeLines="50" w:line="360" w:lineRule="auto"/>
        <w:jc w:val="center"/>
        <w:outlineLvl w:val="1"/>
        <w:rPr>
          <w:rFonts w:hint="eastAsia" w:ascii="宋体" w:hAnsi="宋体" w:eastAsia="宋体" w:cs="宋体"/>
          <w:b/>
          <w:bCs/>
          <w:snapToGrid w:val="0"/>
          <w:kern w:val="2"/>
          <w:sz w:val="28"/>
          <w:szCs w:val="28"/>
          <w:lang w:val="en-US" w:eastAsia="zh-CN" w:bidi="ar-SA"/>
        </w:rPr>
        <w:sectPr>
          <w:footerReference r:id="rId18" w:type="default"/>
          <w:type w:val="continuous"/>
          <w:pgSz w:w="11906" w:h="16838"/>
          <w:pgMar w:top="1134" w:right="1134" w:bottom="1134" w:left="1418" w:header="851" w:footer="680" w:gutter="0"/>
          <w:pgNumType w:fmt="decimal"/>
          <w:cols w:space="425" w:num="1"/>
          <w:docGrid w:linePitch="400" w:charSpace="0"/>
        </w:sectPr>
      </w:pPr>
      <w:bookmarkStart w:id="566" w:name="_Toc30966"/>
      <w:bookmarkStart w:id="567" w:name="_Toc16004"/>
    </w:p>
    <w:p w14:paraId="16191127">
      <w:pPr>
        <w:keepNext/>
        <w:keepLines/>
        <w:spacing w:before="120" w:beforeLines="50" w:line="360" w:lineRule="auto"/>
        <w:jc w:val="center"/>
        <w:outlineLvl w:val="1"/>
        <w:rPr>
          <w:rFonts w:hint="default" w:ascii="宋体" w:hAnsi="宋体" w:eastAsia="宋体" w:cs="宋体"/>
          <w:b/>
          <w:bCs/>
          <w:snapToGrid w:val="0"/>
          <w:kern w:val="2"/>
          <w:sz w:val="28"/>
          <w:szCs w:val="28"/>
          <w:lang w:val="en-US" w:eastAsia="zh-CN" w:bidi="ar-SA"/>
        </w:rPr>
      </w:pPr>
      <w:bookmarkStart w:id="568" w:name="_Toc25475"/>
      <w:bookmarkStart w:id="569" w:name="_Toc6466"/>
      <w:bookmarkStart w:id="570" w:name="_Toc24610"/>
      <w:bookmarkStart w:id="571" w:name="_Toc6941"/>
      <w:r>
        <w:rPr>
          <w:rFonts w:hint="eastAsia" w:ascii="宋体" w:hAnsi="宋体" w:eastAsia="宋体" w:cs="宋体"/>
          <w:b/>
          <w:bCs/>
          <w:snapToGrid w:val="0"/>
          <w:kern w:val="2"/>
          <w:sz w:val="28"/>
          <w:szCs w:val="28"/>
          <w:lang w:val="en-US" w:eastAsia="zh-CN" w:bidi="ar-SA"/>
        </w:rPr>
        <w:t>第</w:t>
      </w:r>
      <w:r>
        <w:rPr>
          <w:rFonts w:hint="eastAsia" w:ascii="宋体" w:hAnsi="宋体" w:cs="宋体"/>
          <w:b/>
          <w:bCs/>
          <w:snapToGrid w:val="0"/>
          <w:kern w:val="2"/>
          <w:sz w:val="28"/>
          <w:szCs w:val="28"/>
          <w:lang w:val="en-US" w:eastAsia="zh-CN" w:bidi="ar-SA"/>
        </w:rPr>
        <w:t>二</w:t>
      </w:r>
      <w:r>
        <w:rPr>
          <w:rFonts w:hint="eastAsia" w:ascii="宋体" w:hAnsi="宋体" w:eastAsia="宋体" w:cs="宋体"/>
          <w:b/>
          <w:bCs/>
          <w:snapToGrid w:val="0"/>
          <w:kern w:val="2"/>
          <w:sz w:val="28"/>
          <w:szCs w:val="28"/>
          <w:lang w:val="en-US" w:eastAsia="zh-CN" w:bidi="ar-SA"/>
        </w:rPr>
        <w:t>章  适用于本</w:t>
      </w:r>
      <w:r>
        <w:rPr>
          <w:rFonts w:hint="eastAsia" w:ascii="宋体" w:hAnsi="宋体" w:cs="宋体"/>
          <w:b/>
          <w:bCs/>
          <w:snapToGrid w:val="0"/>
          <w:kern w:val="2"/>
          <w:sz w:val="28"/>
          <w:szCs w:val="28"/>
          <w:lang w:val="en-US" w:eastAsia="zh-CN" w:bidi="ar-SA"/>
        </w:rPr>
        <w:t>项目</w:t>
      </w:r>
      <w:r>
        <w:rPr>
          <w:rFonts w:hint="eastAsia" w:ascii="宋体" w:hAnsi="宋体" w:eastAsia="宋体" w:cs="宋体"/>
          <w:b/>
          <w:bCs/>
          <w:snapToGrid w:val="0"/>
          <w:kern w:val="2"/>
          <w:sz w:val="28"/>
          <w:szCs w:val="28"/>
          <w:lang w:val="en-US" w:eastAsia="zh-CN" w:bidi="ar-SA"/>
        </w:rPr>
        <w:t>的技术</w:t>
      </w:r>
      <w:bookmarkEnd w:id="566"/>
      <w:bookmarkEnd w:id="567"/>
      <w:bookmarkEnd w:id="568"/>
      <w:bookmarkEnd w:id="569"/>
      <w:r>
        <w:rPr>
          <w:rFonts w:hint="eastAsia" w:ascii="宋体" w:hAnsi="宋体" w:cs="宋体"/>
          <w:b/>
          <w:bCs/>
          <w:snapToGrid w:val="0"/>
          <w:kern w:val="2"/>
          <w:sz w:val="28"/>
          <w:szCs w:val="28"/>
          <w:lang w:val="en-US" w:eastAsia="zh-CN" w:bidi="ar-SA"/>
        </w:rPr>
        <w:t>标准和工程建设标准</w:t>
      </w:r>
      <w:bookmarkEnd w:id="570"/>
      <w:bookmarkEnd w:id="571"/>
    </w:p>
    <w:p w14:paraId="1715C70F">
      <w:pPr>
        <w:pStyle w:val="160"/>
        <w:numPr>
          <w:ilvl w:val="0"/>
          <w:numId w:val="56"/>
        </w:numPr>
        <w:tabs>
          <w:tab w:val="left" w:pos="851"/>
        </w:tabs>
        <w:spacing w:line="360" w:lineRule="auto"/>
        <w:ind w:left="425" w:leftChars="0" w:hanging="425" w:firstLineChars="0"/>
        <w:rPr>
          <w:rFonts w:hint="eastAsia" w:ascii="宋体" w:hAnsi="宋体" w:eastAsia="宋体" w:cs="宋体"/>
          <w:b/>
          <w:sz w:val="24"/>
          <w:szCs w:val="24"/>
          <w:highlight w:val="none"/>
        </w:rPr>
      </w:pPr>
      <w:bookmarkStart w:id="572" w:name="_Toc7872"/>
      <w:bookmarkStart w:id="573" w:name="_Toc258420583"/>
      <w:bookmarkStart w:id="574" w:name="_Toc336440480"/>
      <w:bookmarkStart w:id="575" w:name="_Toc336433289"/>
      <w:bookmarkStart w:id="576" w:name="_Toc336432232"/>
      <w:bookmarkStart w:id="577" w:name="_Toc27079"/>
      <w:bookmarkStart w:id="578" w:name="_Toc336434095"/>
      <w:bookmarkStart w:id="579" w:name="_Toc341125048"/>
      <w:r>
        <w:rPr>
          <w:rFonts w:hint="eastAsia" w:ascii="宋体" w:hAnsi="宋体" w:eastAsia="宋体" w:cs="宋体"/>
          <w:b/>
          <w:sz w:val="24"/>
          <w:szCs w:val="24"/>
          <w:highlight w:val="none"/>
        </w:rPr>
        <w:t>一般规定</w:t>
      </w:r>
      <w:bookmarkEnd w:id="572"/>
      <w:bookmarkEnd w:id="573"/>
      <w:bookmarkEnd w:id="574"/>
      <w:bookmarkEnd w:id="575"/>
      <w:bookmarkEnd w:id="576"/>
      <w:bookmarkEnd w:id="577"/>
      <w:bookmarkEnd w:id="578"/>
      <w:bookmarkEnd w:id="579"/>
    </w:p>
    <w:p w14:paraId="7D2D1DC4">
      <w:pPr>
        <w:keepNext w:val="0"/>
        <w:keepLines w:val="0"/>
        <w:pageBreakBefore w:val="0"/>
        <w:widowControl w:val="0"/>
        <w:numPr>
          <w:ilvl w:val="0"/>
          <w:numId w:val="57"/>
        </w:numPr>
        <w:tabs>
          <w:tab w:val="left" w:pos="851"/>
        </w:tabs>
        <w:kinsoku/>
        <w:wordWrap/>
        <w:overflowPunct/>
        <w:topLinePunct w:val="0"/>
        <w:autoSpaceDE w:val="0"/>
        <w:autoSpaceDN w:val="0"/>
        <w:bidi w:val="0"/>
        <w:adjustRightInd w:val="0"/>
        <w:snapToGrid/>
        <w:spacing w:line="360" w:lineRule="auto"/>
        <w:ind w:left="856" w:leftChars="0" w:hanging="856" w:firstLineChars="0"/>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bookmarkStart w:id="580" w:name="_Toc24250"/>
      <w:bookmarkStart w:id="581" w:name="_Toc3729"/>
      <w:r>
        <w:rPr>
          <w:rFonts w:hint="eastAsia" w:ascii="宋体" w:hAnsi="宋体" w:eastAsia="宋体" w:cs="宋体"/>
          <w:color w:val="000000" w:themeColor="text1"/>
          <w:kern w:val="0"/>
          <w:sz w:val="24"/>
          <w:szCs w:val="24"/>
          <w:highlight w:val="none"/>
          <w14:textFill>
            <w14:solidFill>
              <w14:schemeClr w14:val="tx1"/>
            </w14:solidFill>
          </w14:textFill>
        </w:rPr>
        <w:t>本说明中使用的名词术语采用中华人民共和国部颁标准等标准文件中所列者，本规范与合同条款、图纸的规定和要求是一致的，应互相对照阅读和使用。如有不明确之处，其解释权和顺序为</w:t>
      </w:r>
      <w:r>
        <w:rPr>
          <w:rFonts w:hint="eastAsia" w:ascii="宋体" w:hAnsi="宋体" w:cs="宋体"/>
          <w:color w:val="000000" w:themeColor="text1"/>
          <w:kern w:val="0"/>
          <w:sz w:val="24"/>
          <w:szCs w:val="24"/>
          <w:highlight w:val="none"/>
          <w:lang w:eastAsia="zh-CN"/>
          <w14:textFill>
            <w14:solidFill>
              <w14:schemeClr w14:val="tx1"/>
            </w14:solidFill>
          </w14:textFill>
        </w:rPr>
        <w:t>发包人</w:t>
      </w:r>
      <w:r>
        <w:rPr>
          <w:rFonts w:hint="eastAsia" w:ascii="宋体" w:hAnsi="宋体" w:eastAsia="宋体" w:cs="宋体"/>
          <w:color w:val="000000" w:themeColor="text1"/>
          <w:kern w:val="0"/>
          <w:sz w:val="24"/>
          <w:szCs w:val="24"/>
          <w:highlight w:val="none"/>
          <w14:textFill>
            <w14:solidFill>
              <w14:schemeClr w14:val="tx1"/>
            </w14:solidFill>
          </w14:textFill>
        </w:rPr>
        <w:t>、监理工程师，但必须符合合同条款中的相应规定。</w:t>
      </w:r>
    </w:p>
    <w:p w14:paraId="01B4BF30">
      <w:pPr>
        <w:pStyle w:val="160"/>
        <w:numPr>
          <w:ilvl w:val="0"/>
          <w:numId w:val="56"/>
        </w:numPr>
        <w:tabs>
          <w:tab w:val="left" w:pos="851"/>
        </w:tabs>
        <w:spacing w:line="360" w:lineRule="auto"/>
        <w:ind w:left="425" w:leftChars="0" w:hanging="425" w:firstLineChars="0"/>
        <w:rPr>
          <w:rFonts w:hint="eastAsia" w:ascii="宋体" w:hAnsi="宋体" w:eastAsia="宋体" w:cs="宋体"/>
          <w:b/>
          <w:sz w:val="24"/>
          <w:szCs w:val="24"/>
          <w:highlight w:val="none"/>
        </w:rPr>
      </w:pPr>
      <w:bookmarkStart w:id="582" w:name="_Toc19898"/>
      <w:bookmarkStart w:id="583" w:name="_Toc8750"/>
      <w:r>
        <w:rPr>
          <w:rFonts w:hint="eastAsia" w:ascii="宋体" w:hAnsi="宋体" w:eastAsia="宋体" w:cs="宋体"/>
          <w:b/>
          <w:sz w:val="24"/>
          <w:szCs w:val="24"/>
          <w:highlight w:val="none"/>
        </w:rPr>
        <w:t>工程实施的技术标准和规范</w:t>
      </w:r>
      <w:bookmarkEnd w:id="582"/>
      <w:bookmarkEnd w:id="583"/>
    </w:p>
    <w:p w14:paraId="170F3B9E">
      <w:pPr>
        <w:keepNext w:val="0"/>
        <w:keepLines w:val="0"/>
        <w:pageBreakBefore w:val="0"/>
        <w:widowControl w:val="0"/>
        <w:numPr>
          <w:ilvl w:val="0"/>
          <w:numId w:val="58"/>
        </w:numPr>
        <w:tabs>
          <w:tab w:val="left" w:pos="851"/>
        </w:tabs>
        <w:kinsoku/>
        <w:wordWrap/>
        <w:overflowPunct/>
        <w:topLinePunct w:val="0"/>
        <w:autoSpaceDE w:val="0"/>
        <w:autoSpaceDN w:val="0"/>
        <w:bidi w:val="0"/>
        <w:adjustRightInd w:val="0"/>
        <w:snapToGrid/>
        <w:spacing w:line="360" w:lineRule="auto"/>
        <w:ind w:left="852" w:hanging="852" w:hangingChars="355"/>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sz w:val="24"/>
          <w:szCs w:val="24"/>
          <w:highlight w:val="none"/>
        </w:rPr>
        <w:t>本程的主要验收标准和相关规定,除设计施工图、技术核定、技术交底纪要、工程材料要求以外，还包括但不限于以下所列</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670CB93D">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《建设工程监理规范》（GB50319—2000）。</w:t>
      </w:r>
    </w:p>
    <w:p w14:paraId="0C43F0CE">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《工程测量规范》（GB50026---93）。</w:t>
      </w:r>
    </w:p>
    <w:p w14:paraId="6F11DB85">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《建筑地基处理技术规范》（JGJ79---2002）。</w:t>
      </w:r>
    </w:p>
    <w:p w14:paraId="1328B9A8">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《建筑桩基技术规范》（JGJ94---94）。</w:t>
      </w:r>
    </w:p>
    <w:p w14:paraId="13C36A48">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《建筑地基基础工程施工质量验收规范》（GB50202---2002）。</w:t>
      </w:r>
    </w:p>
    <w:p w14:paraId="2C47C6DA">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《地下工程防水技术规范》（GB50108---2001）。</w:t>
      </w:r>
    </w:p>
    <w:p w14:paraId="714F1094">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《地下防水工程质量验收规范》（GB50208---2002）。</w:t>
      </w:r>
    </w:p>
    <w:p w14:paraId="639C8C9D">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《砌体工程施工质量验收规范》（GB50203---2002）。</w:t>
      </w:r>
    </w:p>
    <w:p w14:paraId="37A0A2CB">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《多孔砖砌体结构技术规范》（JGJ137---2001）。</w:t>
      </w:r>
    </w:p>
    <w:p w14:paraId="39C3DCB8">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《多孔砖（KP1型）建筑抗震设计与施工规程》（JGJ68---90）。</w:t>
      </w:r>
    </w:p>
    <w:p w14:paraId="33D10F21">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《设置钢筋混凝土构造柱多层砖房抗震技术规程》（JGJ/T13---94）。</w:t>
      </w:r>
    </w:p>
    <w:p w14:paraId="60D25057">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《屋面工程质量验收规范》（GB50207---2002）。</w:t>
      </w:r>
    </w:p>
    <w:p w14:paraId="7885D52A">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《建筑地面工程施工质量验收规范》（GB50209---2002）。</w:t>
      </w:r>
    </w:p>
    <w:p w14:paraId="3EB8937A">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《建筑装饰装修工程质量验收规范》（GB50210---2001）。</w:t>
      </w:r>
    </w:p>
    <w:p w14:paraId="4FD58481">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《住宅装饰装修工程施工规范》（GB50327---2001）。</w:t>
      </w:r>
    </w:p>
    <w:p w14:paraId="510F92BE">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《外墙饰面砖工程施工及验收规范》（JGJ126---2000）。</w:t>
      </w:r>
    </w:p>
    <w:p w14:paraId="5E15D099">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《塑料门窗安装及验收规程》（JGJ103---96）。</w:t>
      </w:r>
    </w:p>
    <w:p w14:paraId="30E3AFB2">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《钢筋焊接及验收规程》（JGJ18---96）。</w:t>
      </w:r>
    </w:p>
    <w:p w14:paraId="47A877A1">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《普通混凝土配合比设计规程》（JGJ55---2000）。</w:t>
      </w:r>
    </w:p>
    <w:p w14:paraId="7C730914">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《砌筑砂浆配合比设计规程》（JGJ98---2000）。</w:t>
      </w:r>
    </w:p>
    <w:p w14:paraId="7850289A">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《建筑工程施工质量验收统一标准》（GB50300---2001）。</w:t>
      </w:r>
    </w:p>
    <w:p w14:paraId="6932CE61">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《混凝土质量控制标准》（GB50164---92）。</w:t>
      </w:r>
    </w:p>
    <w:p w14:paraId="4BFC6606">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《混凝土强度检验评定标准》（GB107---87）。</w:t>
      </w:r>
    </w:p>
    <w:p w14:paraId="46D057AA">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《砌体工程现场检测技术标准》（GB/T50315---2000）。</w:t>
      </w:r>
    </w:p>
    <w:p w14:paraId="019B3471">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《建筑给水排水及采暖工程施工质量验收规范》（GB50242---2002）</w:t>
      </w:r>
    </w:p>
    <w:p w14:paraId="38EDC9FC">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《通风与空调工程施工质量验收规范》（GB50243---2002）。</w:t>
      </w:r>
    </w:p>
    <w:p w14:paraId="3EE5DC2C">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《建筑电气工程施工质量验收规范》（GB50303---2002）。</w:t>
      </w:r>
    </w:p>
    <w:p w14:paraId="4844E092">
      <w:pPr>
        <w:pStyle w:val="160"/>
        <w:numPr>
          <w:ilvl w:val="0"/>
          <w:numId w:val="59"/>
        </w:numPr>
        <w:spacing w:line="360" w:lineRule="auto"/>
        <w:ind w:firstLineChars="0"/>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《建筑与建筑群综合布线系统工程验收规范》（GB/T50312---2000）</w:t>
      </w:r>
    </w:p>
    <w:p w14:paraId="3C9A4B44">
      <w:pPr>
        <w:keepNext w:val="0"/>
        <w:keepLines w:val="0"/>
        <w:pageBreakBefore w:val="0"/>
        <w:widowControl w:val="0"/>
        <w:numPr>
          <w:ilvl w:val="0"/>
          <w:numId w:val="58"/>
        </w:numPr>
        <w:tabs>
          <w:tab w:val="left" w:pos="851"/>
        </w:tabs>
        <w:kinsoku/>
        <w:wordWrap/>
        <w:overflowPunct/>
        <w:topLinePunct w:val="0"/>
        <w:autoSpaceDE w:val="0"/>
        <w:autoSpaceDN w:val="0"/>
        <w:bidi w:val="0"/>
        <w:adjustRightInd w:val="0"/>
        <w:snapToGrid/>
        <w:spacing w:line="360" w:lineRule="auto"/>
        <w:ind w:left="852" w:hanging="852" w:hangingChars="355"/>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在合同履行期间，本工程所采用的标准或规范若有修改或重新颁布时，应按修改或新颁的内容执行。</w:t>
      </w:r>
    </w:p>
    <w:p w14:paraId="6C745B7D">
      <w:pPr>
        <w:keepNext w:val="0"/>
        <w:keepLines w:val="0"/>
        <w:pageBreakBefore w:val="0"/>
        <w:widowControl w:val="0"/>
        <w:numPr>
          <w:ilvl w:val="0"/>
          <w:numId w:val="58"/>
        </w:numPr>
        <w:tabs>
          <w:tab w:val="left" w:pos="851"/>
        </w:tabs>
        <w:kinsoku/>
        <w:wordWrap/>
        <w:overflowPunct/>
        <w:topLinePunct w:val="0"/>
        <w:autoSpaceDE w:val="0"/>
        <w:autoSpaceDN w:val="0"/>
        <w:bidi w:val="0"/>
        <w:adjustRightInd w:val="0"/>
        <w:snapToGrid/>
        <w:spacing w:line="360" w:lineRule="auto"/>
        <w:ind w:left="852" w:hanging="852" w:hangingChars="355"/>
        <w:jc w:val="left"/>
        <w:textAlignment w:val="auto"/>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根据工程设计要求，该项工程特殊项目的材料，施工除必须达到以上标准外，还应满足特殊项目的施工工艺标准和要求。</w:t>
      </w:r>
    </w:p>
    <w:p w14:paraId="71705CF6">
      <w:pPr>
        <w:pStyle w:val="160"/>
        <w:numPr>
          <w:ilvl w:val="0"/>
          <w:numId w:val="56"/>
        </w:numPr>
        <w:tabs>
          <w:tab w:val="left" w:pos="851"/>
        </w:tabs>
        <w:spacing w:line="360" w:lineRule="auto"/>
        <w:ind w:left="425" w:leftChars="0" w:hanging="425" w:firstLineChars="0"/>
        <w:rPr>
          <w:rFonts w:hint="eastAsia" w:ascii="宋体" w:hAnsi="宋体" w:eastAsia="宋体" w:cs="宋体"/>
          <w:b/>
          <w:sz w:val="24"/>
          <w:szCs w:val="24"/>
          <w:highlight w:val="none"/>
        </w:rPr>
      </w:pPr>
      <w:r>
        <w:rPr>
          <w:rFonts w:hint="eastAsia" w:ascii="宋体" w:hAnsi="宋体" w:eastAsia="宋体" w:cs="宋体"/>
          <w:b/>
          <w:sz w:val="24"/>
          <w:szCs w:val="24"/>
          <w:highlight w:val="none"/>
        </w:rPr>
        <w:t>验收与其他</w:t>
      </w:r>
    </w:p>
    <w:p w14:paraId="6F9152E1">
      <w:pPr>
        <w:pStyle w:val="173"/>
        <w:spacing w:line="360" w:lineRule="auto"/>
        <w:ind w:left="844" w:leftChars="402" w:firstLine="4" w:firstLineChars="2"/>
        <w:rPr>
          <w:rFonts w:hint="eastAsia" w:ascii="宋体" w:hAnsi="宋体" w:eastAsia="宋体" w:cs="宋体"/>
          <w:sz w:val="24"/>
          <w:szCs w:val="24"/>
          <w:highlight w:val="none"/>
          <w:lang w:val="en-GB"/>
        </w:rPr>
      </w:pPr>
      <w:r>
        <w:rPr>
          <w:rFonts w:hint="eastAsia" w:ascii="宋体" w:hAnsi="宋体" w:eastAsia="宋体" w:cs="宋体"/>
          <w:sz w:val="24"/>
          <w:szCs w:val="24"/>
          <w:highlight w:val="none"/>
          <w:lang w:val="en-GB"/>
        </w:rPr>
        <w:t>根据国家规定，该工程项目的材料，施工除必须达到以上两条的标准和要求外，尚应满足中华人民共和国建设部发布的《工程建设标准强制性条文》的规定。</w:t>
      </w:r>
    </w:p>
    <w:p w14:paraId="097948BB">
      <w:pPr>
        <w:pStyle w:val="173"/>
        <w:spacing w:line="360" w:lineRule="auto"/>
        <w:ind w:left="844" w:leftChars="402" w:firstLine="4" w:firstLineChars="2"/>
        <w:rPr>
          <w:rFonts w:hint="eastAsia" w:ascii="宋体" w:hAnsi="宋体" w:eastAsia="宋体" w:cs="宋体"/>
          <w:sz w:val="24"/>
          <w:szCs w:val="24"/>
          <w:highlight w:val="none"/>
        </w:rPr>
      </w:pPr>
    </w:p>
    <w:bookmarkEnd w:id="580"/>
    <w:bookmarkEnd w:id="581"/>
    <w:p w14:paraId="3BB328D7">
      <w:pPr>
        <w:widowControl/>
        <w:jc w:val="left"/>
        <w:rPr>
          <w:rFonts w:ascii="宋体" w:hAnsi="宋体"/>
          <w:snapToGrid w:val="0"/>
          <w:color w:val="000000" w:themeColor="text1"/>
          <w:highlight w:val="none"/>
          <w14:textFill>
            <w14:solidFill>
              <w14:schemeClr w14:val="tx1"/>
            </w14:solidFill>
          </w14:textFill>
        </w:rPr>
      </w:pPr>
      <w:r>
        <w:rPr>
          <w:rFonts w:ascii="宋体" w:hAnsi="宋体"/>
          <w:snapToGrid w:val="0"/>
          <w:color w:val="000000" w:themeColor="text1"/>
          <w:highlight w:val="none"/>
          <w14:textFill>
            <w14:solidFill>
              <w14:schemeClr w14:val="tx1"/>
            </w14:solidFill>
          </w14:textFill>
        </w:rPr>
        <w:br w:type="page"/>
      </w:r>
    </w:p>
    <w:p w14:paraId="3FBC961F">
      <w:pPr>
        <w:ind w:left="706" w:hanging="705" w:hangingChars="336"/>
        <w:rPr>
          <w:snapToGrid w:val="0"/>
        </w:rPr>
      </w:pPr>
    </w:p>
    <w:p w14:paraId="15492991">
      <w:pPr>
        <w:keepNext/>
        <w:keepLines/>
        <w:ind w:left="283" w:leftChars="135"/>
        <w:jc w:val="center"/>
        <w:outlineLvl w:val="0"/>
        <w:rPr>
          <w:rFonts w:ascii="宋体" w:hAnsi="宋体" w:cs="Arial"/>
          <w:b/>
          <w:bCs/>
          <w:snapToGrid w:val="0"/>
          <w:color w:val="000000" w:themeColor="text1"/>
          <w:kern w:val="44"/>
          <w:sz w:val="28"/>
          <w:szCs w:val="28"/>
          <w14:textFill>
            <w14:solidFill>
              <w14:schemeClr w14:val="tx1"/>
            </w14:solidFill>
          </w14:textFill>
        </w:rPr>
      </w:pPr>
      <w:bookmarkStart w:id="584" w:name="_Toc8504"/>
      <w:bookmarkStart w:id="585" w:name="_Toc14678"/>
      <w:bookmarkStart w:id="586" w:name="_Toc16320"/>
      <w:bookmarkStart w:id="587" w:name="_Toc11721"/>
      <w:bookmarkStart w:id="588" w:name="_Toc1072"/>
      <w:bookmarkStart w:id="589" w:name="_Toc29852"/>
      <w:bookmarkStart w:id="590" w:name="_Toc9853"/>
      <w:r>
        <w:rPr>
          <w:rFonts w:ascii="宋体" w:hAnsi="宋体" w:cs="Arial"/>
          <w:b/>
          <w:bCs/>
          <w:snapToGrid w:val="0"/>
          <w:color w:val="000000" w:themeColor="text1"/>
          <w:kern w:val="44"/>
          <w:sz w:val="28"/>
          <w:szCs w:val="28"/>
          <w14:textFill>
            <w14:solidFill>
              <w14:schemeClr w14:val="tx1"/>
            </w14:solidFill>
          </w14:textFill>
        </w:rPr>
        <w:t>第</w:t>
      </w:r>
      <w:r>
        <w:rPr>
          <w:rFonts w:hint="eastAsia" w:ascii="宋体" w:hAnsi="宋体" w:cs="Arial"/>
          <w:b/>
          <w:bCs/>
          <w:snapToGrid w:val="0"/>
          <w:color w:val="000000" w:themeColor="text1"/>
          <w:kern w:val="44"/>
          <w:sz w:val="28"/>
          <w:szCs w:val="28"/>
          <w14:textFill>
            <w14:solidFill>
              <w14:schemeClr w14:val="tx1"/>
            </w14:solidFill>
          </w14:textFill>
        </w:rPr>
        <w:t>四</w:t>
      </w:r>
      <w:r>
        <w:rPr>
          <w:rFonts w:ascii="宋体" w:hAnsi="宋体" w:cs="Arial"/>
          <w:b/>
          <w:bCs/>
          <w:snapToGrid w:val="0"/>
          <w:color w:val="000000" w:themeColor="text1"/>
          <w:kern w:val="44"/>
          <w:sz w:val="28"/>
          <w:szCs w:val="28"/>
          <w14:textFill>
            <w14:solidFill>
              <w14:schemeClr w14:val="tx1"/>
            </w14:solidFill>
          </w14:textFill>
        </w:rPr>
        <w:t xml:space="preserve">部分  </w:t>
      </w:r>
      <w:r>
        <w:rPr>
          <w:rFonts w:hint="eastAsia" w:ascii="宋体" w:hAnsi="宋体" w:cs="Arial"/>
          <w:b/>
          <w:bCs/>
          <w:snapToGrid w:val="0"/>
          <w:color w:val="000000" w:themeColor="text1"/>
          <w:kern w:val="44"/>
          <w:sz w:val="28"/>
          <w:szCs w:val="28"/>
          <w14:textFill>
            <w14:solidFill>
              <w14:schemeClr w14:val="tx1"/>
            </w14:solidFill>
          </w14:textFill>
        </w:rPr>
        <w:t>合同清单</w:t>
      </w:r>
      <w:bookmarkEnd w:id="584"/>
      <w:bookmarkEnd w:id="585"/>
      <w:bookmarkEnd w:id="586"/>
      <w:bookmarkEnd w:id="587"/>
      <w:bookmarkEnd w:id="588"/>
      <w:bookmarkEnd w:id="589"/>
      <w:bookmarkEnd w:id="590"/>
    </w:p>
    <w:p w14:paraId="644747D1">
      <w:pPr>
        <w:jc w:val="center"/>
        <w:rPr>
          <w:rFonts w:ascii="宋体" w:hAnsi="宋体"/>
          <w:b/>
          <w:snapToGrid w:val="0"/>
          <w:color w:val="000000" w:themeColor="text1"/>
          <w:sz w:val="32"/>
          <w:szCs w:val="32"/>
          <w14:textFill>
            <w14:solidFill>
              <w14:schemeClr w14:val="tx1"/>
            </w14:solidFill>
          </w14:textFill>
        </w:rPr>
      </w:pPr>
    </w:p>
    <w:tbl>
      <w:tblPr>
        <w:tblStyle w:val="41"/>
        <w:tblW w:w="9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4"/>
        <w:gridCol w:w="1513"/>
        <w:gridCol w:w="739"/>
        <w:gridCol w:w="1359"/>
        <w:gridCol w:w="1798"/>
        <w:gridCol w:w="1798"/>
        <w:gridCol w:w="1129"/>
      </w:tblGrid>
      <w:tr w14:paraId="3685A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9460" w:type="dxa"/>
            <w:gridSpan w:val="7"/>
            <w:tcBorders>
              <w:top w:val="single" w:color="000000" w:sz="8" w:space="0"/>
              <w:left w:val="single" w:color="000000" w:sz="8" w:space="0"/>
              <w:bottom w:val="single" w:color="000000" w:sz="8" w:space="0"/>
              <w:right w:val="single" w:color="000000" w:sz="8" w:space="0"/>
            </w:tcBorders>
            <w:shd w:val="clear" w:color="auto" w:fill="auto"/>
            <w:vAlign w:val="center"/>
          </w:tcPr>
          <w:p w14:paraId="4D730A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工程名称：</w:t>
            </w:r>
            <w:r>
              <w:rPr>
                <w:rFonts w:hint="eastAsia" w:ascii="宋体" w:hAnsi="宋体" w:cs="宋体"/>
                <w:i w:val="0"/>
                <w:iCs w:val="0"/>
                <w:color w:val="000000"/>
                <w:kern w:val="0"/>
                <w:sz w:val="24"/>
                <w:szCs w:val="24"/>
                <w:u w:val="none"/>
                <w:lang w:val="en-US" w:eastAsia="zh-CN" w:bidi="ar"/>
              </w:rPr>
              <w:t>重庆海联职业技术学院两江校区项目（二期）监理咨询服务</w:t>
            </w:r>
          </w:p>
        </w:tc>
      </w:tr>
      <w:tr w14:paraId="7E050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1124" w:type="dxa"/>
            <w:tcBorders>
              <w:top w:val="nil"/>
              <w:left w:val="single" w:color="000000" w:sz="8" w:space="0"/>
              <w:bottom w:val="single" w:color="000000" w:sz="8" w:space="0"/>
              <w:right w:val="single" w:color="000000" w:sz="8" w:space="0"/>
            </w:tcBorders>
            <w:shd w:val="clear" w:color="auto" w:fill="auto"/>
            <w:vAlign w:val="center"/>
          </w:tcPr>
          <w:p w14:paraId="617F11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13" w:type="dxa"/>
            <w:tcBorders>
              <w:top w:val="single" w:color="000000" w:sz="8" w:space="0"/>
              <w:left w:val="nil"/>
              <w:bottom w:val="single" w:color="000000" w:sz="8" w:space="0"/>
              <w:right w:val="single" w:color="000000" w:sz="8" w:space="0"/>
            </w:tcBorders>
            <w:shd w:val="clear" w:color="auto" w:fill="auto"/>
            <w:vAlign w:val="center"/>
          </w:tcPr>
          <w:p w14:paraId="455CCE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分类名称</w:t>
            </w:r>
          </w:p>
        </w:tc>
        <w:tc>
          <w:tcPr>
            <w:tcW w:w="739" w:type="dxa"/>
            <w:tcBorders>
              <w:top w:val="single" w:color="000000" w:sz="8" w:space="0"/>
              <w:left w:val="nil"/>
              <w:bottom w:val="single" w:color="000000" w:sz="8" w:space="0"/>
              <w:right w:val="single" w:color="000000" w:sz="8" w:space="0"/>
            </w:tcBorders>
            <w:shd w:val="clear" w:color="auto" w:fill="auto"/>
            <w:vAlign w:val="center"/>
          </w:tcPr>
          <w:p w14:paraId="0EAE37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359" w:type="dxa"/>
            <w:tcBorders>
              <w:top w:val="single" w:color="000000" w:sz="8" w:space="0"/>
              <w:left w:val="nil"/>
              <w:bottom w:val="single" w:color="000000" w:sz="8" w:space="0"/>
              <w:right w:val="single" w:color="000000" w:sz="8" w:space="0"/>
            </w:tcBorders>
            <w:shd w:val="clear" w:color="auto" w:fill="auto"/>
            <w:vAlign w:val="center"/>
          </w:tcPr>
          <w:p w14:paraId="6D1AE4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面积</w:t>
            </w:r>
          </w:p>
        </w:tc>
        <w:tc>
          <w:tcPr>
            <w:tcW w:w="1798" w:type="dxa"/>
            <w:tcBorders>
              <w:top w:val="single" w:color="000000" w:sz="8" w:space="0"/>
              <w:left w:val="nil"/>
              <w:bottom w:val="single" w:color="000000" w:sz="8" w:space="0"/>
              <w:right w:val="single" w:color="000000" w:sz="8" w:space="0"/>
            </w:tcBorders>
            <w:shd w:val="clear" w:color="auto" w:fill="auto"/>
            <w:vAlign w:val="center"/>
          </w:tcPr>
          <w:p w14:paraId="28BBCB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含税单价（元）</w:t>
            </w:r>
          </w:p>
        </w:tc>
        <w:tc>
          <w:tcPr>
            <w:tcW w:w="1798" w:type="dxa"/>
            <w:tcBorders>
              <w:top w:val="single" w:color="000000" w:sz="8" w:space="0"/>
              <w:left w:val="nil"/>
              <w:bottom w:val="single" w:color="000000" w:sz="8" w:space="0"/>
              <w:right w:val="single" w:color="000000" w:sz="8" w:space="0"/>
            </w:tcBorders>
            <w:shd w:val="clear" w:color="auto" w:fill="auto"/>
            <w:vAlign w:val="center"/>
          </w:tcPr>
          <w:p w14:paraId="66044D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c>
          <w:tcPr>
            <w:tcW w:w="1129" w:type="dxa"/>
            <w:tcBorders>
              <w:top w:val="single" w:color="000000" w:sz="8" w:space="0"/>
              <w:left w:val="nil"/>
              <w:bottom w:val="single" w:color="000000" w:sz="8" w:space="0"/>
              <w:right w:val="single" w:color="000000" w:sz="8" w:space="0"/>
            </w:tcBorders>
            <w:shd w:val="clear" w:color="auto" w:fill="auto"/>
            <w:vAlign w:val="center"/>
          </w:tcPr>
          <w:p w14:paraId="2428F3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2E6D3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2" w:hRule="atLeast"/>
        </w:trPr>
        <w:tc>
          <w:tcPr>
            <w:tcW w:w="1124" w:type="dxa"/>
            <w:tcBorders>
              <w:top w:val="nil"/>
              <w:left w:val="single" w:color="000000" w:sz="8" w:space="0"/>
              <w:bottom w:val="single" w:color="000000" w:sz="8" w:space="0"/>
              <w:right w:val="single" w:color="000000" w:sz="8" w:space="0"/>
            </w:tcBorders>
            <w:shd w:val="clear" w:color="auto" w:fill="auto"/>
            <w:vAlign w:val="center"/>
          </w:tcPr>
          <w:p w14:paraId="1180E0C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w:t>
            </w:r>
          </w:p>
        </w:tc>
        <w:tc>
          <w:tcPr>
            <w:tcW w:w="1513" w:type="dxa"/>
            <w:tcBorders>
              <w:top w:val="nil"/>
              <w:left w:val="nil"/>
              <w:bottom w:val="single" w:color="000000" w:sz="8" w:space="0"/>
              <w:right w:val="single" w:color="000000" w:sz="8" w:space="0"/>
            </w:tcBorders>
            <w:shd w:val="clear" w:color="auto" w:fill="auto"/>
            <w:vAlign w:val="center"/>
          </w:tcPr>
          <w:p w14:paraId="74D8E663">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建筑面积（含地下建筑）</w:t>
            </w:r>
          </w:p>
        </w:tc>
        <w:tc>
          <w:tcPr>
            <w:tcW w:w="739" w:type="dxa"/>
            <w:tcBorders>
              <w:top w:val="nil"/>
              <w:left w:val="nil"/>
              <w:bottom w:val="single" w:color="000000" w:sz="8" w:space="0"/>
              <w:right w:val="single" w:color="000000" w:sz="8" w:space="0"/>
            </w:tcBorders>
            <w:shd w:val="clear" w:color="auto" w:fill="auto"/>
            <w:vAlign w:val="center"/>
          </w:tcPr>
          <w:p w14:paraId="64B9E1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359" w:type="dxa"/>
            <w:tcBorders>
              <w:top w:val="nil"/>
              <w:left w:val="nil"/>
              <w:bottom w:val="single" w:color="000000" w:sz="8" w:space="0"/>
              <w:right w:val="single" w:color="000000" w:sz="8" w:space="0"/>
            </w:tcBorders>
            <w:shd w:val="clear" w:color="auto" w:fill="auto"/>
            <w:vAlign w:val="center"/>
          </w:tcPr>
          <w:p w14:paraId="54AA5184">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140000.00</w:t>
            </w:r>
          </w:p>
        </w:tc>
        <w:tc>
          <w:tcPr>
            <w:tcW w:w="1798" w:type="dxa"/>
            <w:tcBorders>
              <w:top w:val="nil"/>
              <w:left w:val="nil"/>
              <w:bottom w:val="single" w:color="000000" w:sz="8" w:space="0"/>
              <w:right w:val="single" w:color="000000" w:sz="8" w:space="0"/>
            </w:tcBorders>
            <w:shd w:val="clear" w:color="auto" w:fill="auto"/>
            <w:vAlign w:val="center"/>
          </w:tcPr>
          <w:p w14:paraId="61FD6CDA">
            <w:pPr>
              <w:jc w:val="center"/>
              <w:rPr>
                <w:rFonts w:hint="eastAsia" w:ascii="宋体" w:hAnsi="宋体" w:eastAsia="宋体" w:cs="宋体"/>
                <w:b/>
                <w:bCs/>
                <w:i w:val="0"/>
                <w:iCs w:val="0"/>
                <w:color w:val="000000"/>
                <w:sz w:val="24"/>
                <w:szCs w:val="24"/>
                <w:u w:val="none"/>
              </w:rPr>
            </w:pPr>
          </w:p>
        </w:tc>
        <w:tc>
          <w:tcPr>
            <w:tcW w:w="1798" w:type="dxa"/>
            <w:tcBorders>
              <w:top w:val="nil"/>
              <w:left w:val="nil"/>
              <w:bottom w:val="single" w:color="000000" w:sz="8" w:space="0"/>
              <w:right w:val="single" w:color="000000" w:sz="8" w:space="0"/>
            </w:tcBorders>
            <w:shd w:val="clear" w:color="auto" w:fill="auto"/>
            <w:vAlign w:val="center"/>
          </w:tcPr>
          <w:p w14:paraId="0B2020B4">
            <w:pPr>
              <w:jc w:val="center"/>
              <w:rPr>
                <w:rFonts w:hint="eastAsia" w:ascii="宋体" w:hAnsi="宋体" w:eastAsia="宋体" w:cs="宋体"/>
                <w:b/>
                <w:bCs/>
                <w:i w:val="0"/>
                <w:iCs w:val="0"/>
                <w:color w:val="000000"/>
                <w:sz w:val="24"/>
                <w:szCs w:val="24"/>
                <w:u w:val="none"/>
              </w:rPr>
            </w:pPr>
          </w:p>
        </w:tc>
        <w:tc>
          <w:tcPr>
            <w:tcW w:w="1129" w:type="dxa"/>
            <w:tcBorders>
              <w:top w:val="nil"/>
              <w:left w:val="nil"/>
              <w:bottom w:val="single" w:color="000000" w:sz="8" w:space="0"/>
              <w:right w:val="single" w:color="000000" w:sz="8" w:space="0"/>
            </w:tcBorders>
            <w:shd w:val="clear" w:color="auto" w:fill="auto"/>
            <w:vAlign w:val="center"/>
          </w:tcPr>
          <w:p w14:paraId="02C0D370">
            <w:pPr>
              <w:jc w:val="center"/>
              <w:rPr>
                <w:rFonts w:hint="eastAsia" w:ascii="宋体" w:hAnsi="宋体" w:eastAsia="宋体" w:cs="宋体"/>
                <w:b/>
                <w:bCs/>
                <w:i w:val="0"/>
                <w:iCs w:val="0"/>
                <w:color w:val="000000"/>
                <w:sz w:val="24"/>
                <w:szCs w:val="24"/>
                <w:u w:val="none"/>
              </w:rPr>
            </w:pPr>
          </w:p>
        </w:tc>
      </w:tr>
      <w:tr w14:paraId="35EE5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1124" w:type="dxa"/>
            <w:tcBorders>
              <w:top w:val="nil"/>
              <w:left w:val="single" w:color="000000" w:sz="8" w:space="0"/>
              <w:bottom w:val="single" w:color="000000" w:sz="8" w:space="0"/>
              <w:right w:val="single" w:color="000000" w:sz="8" w:space="0"/>
            </w:tcBorders>
            <w:shd w:val="clear" w:color="auto" w:fill="auto"/>
            <w:vAlign w:val="center"/>
          </w:tcPr>
          <w:p w14:paraId="0305E811">
            <w:pPr>
              <w:jc w:val="center"/>
              <w:rPr>
                <w:rFonts w:hint="eastAsia" w:ascii="宋体" w:hAnsi="宋体" w:eastAsia="宋体" w:cs="宋体"/>
                <w:b/>
                <w:bCs/>
                <w:i w:val="0"/>
                <w:iCs w:val="0"/>
                <w:color w:val="000000"/>
                <w:sz w:val="24"/>
                <w:szCs w:val="24"/>
                <w:u w:val="none"/>
              </w:rPr>
            </w:pPr>
          </w:p>
        </w:tc>
        <w:tc>
          <w:tcPr>
            <w:tcW w:w="1513" w:type="dxa"/>
            <w:tcBorders>
              <w:top w:val="nil"/>
              <w:left w:val="nil"/>
              <w:bottom w:val="single" w:color="000000" w:sz="8" w:space="0"/>
              <w:right w:val="single" w:color="000000" w:sz="8" w:space="0"/>
            </w:tcBorders>
            <w:shd w:val="clear" w:color="auto" w:fill="auto"/>
            <w:vAlign w:val="center"/>
          </w:tcPr>
          <w:p w14:paraId="7AC597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739" w:type="dxa"/>
            <w:tcBorders>
              <w:top w:val="nil"/>
              <w:left w:val="nil"/>
              <w:bottom w:val="single" w:color="000000" w:sz="8" w:space="0"/>
              <w:right w:val="single" w:color="000000" w:sz="8" w:space="0"/>
            </w:tcBorders>
            <w:shd w:val="clear" w:color="auto" w:fill="auto"/>
            <w:vAlign w:val="center"/>
          </w:tcPr>
          <w:p w14:paraId="6E1F6435">
            <w:pPr>
              <w:jc w:val="center"/>
              <w:rPr>
                <w:rFonts w:hint="eastAsia" w:ascii="宋体" w:hAnsi="宋体" w:eastAsia="宋体" w:cs="宋体"/>
                <w:b/>
                <w:bCs/>
                <w:i w:val="0"/>
                <w:iCs w:val="0"/>
                <w:color w:val="000000"/>
                <w:sz w:val="24"/>
                <w:szCs w:val="24"/>
                <w:u w:val="none"/>
              </w:rPr>
            </w:pPr>
          </w:p>
        </w:tc>
        <w:tc>
          <w:tcPr>
            <w:tcW w:w="1359" w:type="dxa"/>
            <w:tcBorders>
              <w:top w:val="nil"/>
              <w:left w:val="nil"/>
              <w:bottom w:val="single" w:color="000000" w:sz="8" w:space="0"/>
              <w:right w:val="single" w:color="000000" w:sz="8" w:space="0"/>
            </w:tcBorders>
            <w:shd w:val="clear" w:color="auto" w:fill="auto"/>
            <w:vAlign w:val="center"/>
          </w:tcPr>
          <w:p w14:paraId="0BEFBC2E">
            <w:pPr>
              <w:jc w:val="center"/>
              <w:rPr>
                <w:rFonts w:hint="eastAsia" w:ascii="宋体" w:hAnsi="宋体" w:eastAsia="宋体" w:cs="宋体"/>
                <w:b/>
                <w:bCs/>
                <w:i w:val="0"/>
                <w:iCs w:val="0"/>
                <w:color w:val="000000"/>
                <w:sz w:val="24"/>
                <w:szCs w:val="24"/>
                <w:u w:val="none"/>
              </w:rPr>
            </w:pPr>
          </w:p>
        </w:tc>
        <w:tc>
          <w:tcPr>
            <w:tcW w:w="1798" w:type="dxa"/>
            <w:tcBorders>
              <w:top w:val="nil"/>
              <w:left w:val="nil"/>
              <w:bottom w:val="single" w:color="000000" w:sz="8" w:space="0"/>
              <w:right w:val="single" w:color="000000" w:sz="8" w:space="0"/>
            </w:tcBorders>
            <w:shd w:val="clear" w:color="auto" w:fill="auto"/>
            <w:vAlign w:val="center"/>
          </w:tcPr>
          <w:p w14:paraId="2BC597C2">
            <w:pPr>
              <w:jc w:val="center"/>
              <w:rPr>
                <w:rFonts w:hint="eastAsia" w:ascii="宋体" w:hAnsi="宋体" w:eastAsia="宋体" w:cs="宋体"/>
                <w:b/>
                <w:bCs/>
                <w:i w:val="0"/>
                <w:iCs w:val="0"/>
                <w:color w:val="000000"/>
                <w:sz w:val="24"/>
                <w:szCs w:val="24"/>
                <w:u w:val="none"/>
              </w:rPr>
            </w:pPr>
          </w:p>
        </w:tc>
        <w:tc>
          <w:tcPr>
            <w:tcW w:w="1798" w:type="dxa"/>
            <w:tcBorders>
              <w:top w:val="nil"/>
              <w:left w:val="nil"/>
              <w:bottom w:val="single" w:color="000000" w:sz="8" w:space="0"/>
              <w:right w:val="single" w:color="000000" w:sz="8" w:space="0"/>
            </w:tcBorders>
            <w:shd w:val="clear" w:color="auto" w:fill="auto"/>
            <w:vAlign w:val="center"/>
          </w:tcPr>
          <w:p w14:paraId="16139D99">
            <w:pPr>
              <w:jc w:val="center"/>
              <w:rPr>
                <w:rFonts w:hint="eastAsia" w:ascii="宋体" w:hAnsi="宋体" w:eastAsia="宋体" w:cs="宋体"/>
                <w:b/>
                <w:bCs/>
                <w:i w:val="0"/>
                <w:iCs w:val="0"/>
                <w:color w:val="000000"/>
                <w:sz w:val="24"/>
                <w:szCs w:val="24"/>
                <w:u w:val="none"/>
              </w:rPr>
            </w:pPr>
          </w:p>
        </w:tc>
        <w:tc>
          <w:tcPr>
            <w:tcW w:w="1129" w:type="dxa"/>
            <w:tcBorders>
              <w:top w:val="nil"/>
              <w:left w:val="nil"/>
              <w:bottom w:val="single" w:color="000000" w:sz="8" w:space="0"/>
              <w:right w:val="single" w:color="000000" w:sz="8" w:space="0"/>
            </w:tcBorders>
            <w:shd w:val="clear" w:color="auto" w:fill="auto"/>
            <w:vAlign w:val="center"/>
          </w:tcPr>
          <w:p w14:paraId="07C78BC3">
            <w:pPr>
              <w:jc w:val="center"/>
              <w:rPr>
                <w:rFonts w:hint="eastAsia" w:ascii="宋体" w:hAnsi="宋体" w:eastAsia="宋体" w:cs="宋体"/>
                <w:b/>
                <w:bCs/>
                <w:i w:val="0"/>
                <w:iCs w:val="0"/>
                <w:color w:val="000000"/>
                <w:sz w:val="24"/>
                <w:szCs w:val="24"/>
                <w:u w:val="none"/>
              </w:rPr>
            </w:pPr>
          </w:p>
        </w:tc>
      </w:tr>
      <w:tr w14:paraId="06EF5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9460" w:type="dxa"/>
            <w:gridSpan w:val="7"/>
            <w:tcBorders>
              <w:top w:val="nil"/>
              <w:left w:val="single" w:color="000000" w:sz="8" w:space="0"/>
              <w:bottom w:val="nil"/>
              <w:right w:val="single" w:color="000000" w:sz="8" w:space="0"/>
            </w:tcBorders>
            <w:shd w:val="clear" w:color="auto" w:fill="auto"/>
            <w:vAlign w:val="center"/>
          </w:tcPr>
          <w:p w14:paraId="2844DE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说明:</w:t>
            </w:r>
          </w:p>
        </w:tc>
      </w:tr>
      <w:tr w14:paraId="5DC0B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9460" w:type="dxa"/>
            <w:gridSpan w:val="7"/>
            <w:tcBorders>
              <w:top w:val="nil"/>
              <w:left w:val="single" w:color="000000" w:sz="8" w:space="0"/>
              <w:bottom w:val="single" w:color="000000" w:sz="8" w:space="0"/>
              <w:right w:val="single" w:color="000000" w:sz="8" w:space="0"/>
            </w:tcBorders>
            <w:shd w:val="clear" w:color="auto" w:fill="auto"/>
            <w:vAlign w:val="center"/>
          </w:tcPr>
          <w:p w14:paraId="5AE0945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以上含税单价税率为增值税税率</w:t>
            </w:r>
            <w:r>
              <w:rPr>
                <w:rStyle w:val="174"/>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，若税务部门调整税率时，结算时按实调整税率。</w:t>
            </w:r>
          </w:p>
        </w:tc>
      </w:tr>
    </w:tbl>
    <w:p w14:paraId="0EB5F8BF">
      <w:pPr>
        <w:pageBreakBefore w:val="0"/>
        <w:kinsoku/>
        <w:wordWrap/>
        <w:overflowPunct/>
        <w:topLinePunct w:val="0"/>
        <w:bidi w:val="0"/>
        <w:spacing w:line="300" w:lineRule="auto"/>
        <w:textAlignment w:val="auto"/>
        <w:rPr>
          <w:rFonts w:hint="eastAsia" w:ascii="宋体" w:hAnsi="宋体" w:eastAsia="宋体" w:cs="宋体"/>
          <w:i w:val="0"/>
          <w:color w:val="000000"/>
          <w:kern w:val="0"/>
          <w:sz w:val="24"/>
          <w:szCs w:val="24"/>
          <w:u w:val="none"/>
          <w:lang w:val="en-US" w:eastAsia="zh-CN" w:bidi="ar"/>
        </w:rPr>
      </w:pPr>
    </w:p>
    <w:p w14:paraId="0CC1AA5E">
      <w:pPr>
        <w:pageBreakBefore w:val="0"/>
        <w:kinsoku/>
        <w:wordWrap/>
        <w:overflowPunct/>
        <w:topLinePunct w:val="0"/>
        <w:bidi w:val="0"/>
        <w:spacing w:line="300" w:lineRule="auto"/>
        <w:textAlignment w:val="auto"/>
        <w:rPr>
          <w:rFonts w:hint="eastAsia" w:ascii="宋体" w:hAnsi="宋体" w:eastAsia="宋体" w:cs="宋体"/>
          <w:i w:val="0"/>
          <w:color w:val="000000"/>
          <w:kern w:val="0"/>
          <w:sz w:val="24"/>
          <w:szCs w:val="24"/>
          <w:u w:val="none"/>
          <w:lang w:val="en-US" w:eastAsia="zh-CN" w:bidi="ar"/>
        </w:rPr>
      </w:pPr>
    </w:p>
    <w:p w14:paraId="5BA2368E">
      <w:pPr>
        <w:pageBreakBefore w:val="0"/>
        <w:kinsoku/>
        <w:wordWrap/>
        <w:overflowPunct/>
        <w:topLinePunct w:val="0"/>
        <w:bidi w:val="0"/>
        <w:spacing w:line="300" w:lineRule="auto"/>
        <w:textAlignment w:val="auto"/>
        <w:rPr>
          <w:rFonts w:hint="eastAsia" w:ascii="宋体" w:hAnsi="宋体" w:eastAsia="宋体" w:cs="宋体"/>
          <w:i w:val="0"/>
          <w:color w:val="000000"/>
          <w:kern w:val="0"/>
          <w:sz w:val="24"/>
          <w:szCs w:val="24"/>
          <w:u w:val="none"/>
          <w:lang w:val="en-US" w:eastAsia="zh-CN" w:bidi="ar"/>
        </w:rPr>
      </w:pPr>
    </w:p>
    <w:p w14:paraId="094DEBB7">
      <w:pPr>
        <w:keepNext/>
        <w:keepLines/>
        <w:spacing w:before="120" w:beforeLines="50" w:line="360" w:lineRule="auto"/>
        <w:jc w:val="center"/>
        <w:outlineLvl w:val="0"/>
        <w:rPr>
          <w:rFonts w:hint="eastAsia" w:ascii="宋体" w:hAnsi="宋体" w:eastAsia="宋体" w:cs="Arial"/>
          <w:b/>
          <w:bCs/>
          <w:snapToGrid w:val="0"/>
          <w:color w:val="auto"/>
          <w:kern w:val="44"/>
          <w:sz w:val="28"/>
          <w:szCs w:val="28"/>
        </w:rPr>
        <w:sectPr>
          <w:footerReference r:id="rId21" w:type="first"/>
          <w:footerReference r:id="rId19" w:type="default"/>
          <w:footerReference r:id="rId20" w:type="even"/>
          <w:pgSz w:w="11906" w:h="16838"/>
          <w:pgMar w:top="1134" w:right="1134" w:bottom="1134" w:left="1418" w:header="567" w:footer="567" w:gutter="0"/>
          <w:pgNumType w:fmt="decimal"/>
          <w:cols w:space="425" w:num="1"/>
          <w:titlePg/>
          <w:docGrid w:linePitch="400" w:charSpace="0"/>
        </w:sectPr>
      </w:pPr>
      <w:bookmarkStart w:id="591" w:name="_Toc15633"/>
      <w:bookmarkStart w:id="592" w:name="_Toc24510"/>
      <w:bookmarkStart w:id="593" w:name="_Toc28780"/>
      <w:bookmarkStart w:id="594" w:name="_Toc19557"/>
      <w:bookmarkStart w:id="595" w:name="_Toc28885"/>
    </w:p>
    <w:p w14:paraId="72FD6873">
      <w:pPr>
        <w:keepNext/>
        <w:keepLines/>
        <w:spacing w:before="120" w:beforeLines="50" w:line="360" w:lineRule="auto"/>
        <w:jc w:val="center"/>
        <w:outlineLvl w:val="0"/>
        <w:rPr>
          <w:rFonts w:hint="eastAsia" w:ascii="宋体" w:hAnsi="宋体" w:eastAsia="宋体" w:cs="Arial"/>
          <w:b/>
          <w:bCs/>
          <w:snapToGrid w:val="0"/>
          <w:color w:val="auto"/>
          <w:kern w:val="44"/>
          <w:sz w:val="28"/>
          <w:szCs w:val="28"/>
        </w:rPr>
      </w:pPr>
      <w:bookmarkStart w:id="596" w:name="_Toc12440"/>
      <w:bookmarkStart w:id="597" w:name="_Toc20725"/>
      <w:r>
        <w:rPr>
          <w:rFonts w:hint="eastAsia" w:ascii="宋体" w:hAnsi="宋体" w:eastAsia="宋体" w:cs="Arial"/>
          <w:b/>
          <w:bCs/>
          <w:snapToGrid w:val="0"/>
          <w:color w:val="auto"/>
          <w:kern w:val="44"/>
          <w:sz w:val="28"/>
          <w:szCs w:val="28"/>
        </w:rPr>
        <w:t>第五部分  合同附件</w:t>
      </w:r>
      <w:bookmarkEnd w:id="591"/>
      <w:bookmarkEnd w:id="592"/>
      <w:bookmarkEnd w:id="593"/>
      <w:bookmarkEnd w:id="594"/>
      <w:bookmarkEnd w:id="595"/>
      <w:bookmarkEnd w:id="596"/>
      <w:bookmarkEnd w:id="597"/>
    </w:p>
    <w:p w14:paraId="75AD52AC">
      <w:pPr>
        <w:rPr>
          <w:rFonts w:hint="eastAsia" w:ascii="宋体" w:hAnsi="宋体" w:eastAsia="宋体" w:cs="宋体"/>
          <w:snapToGrid w:val="0"/>
          <w:color w:val="auto"/>
          <w:sz w:val="24"/>
          <w:szCs w:val="24"/>
        </w:rPr>
      </w:pPr>
    </w:p>
    <w:p w14:paraId="29EF9DF5">
      <w:pPr>
        <w:spacing w:line="360" w:lineRule="auto"/>
        <w:ind w:firstLine="960" w:firstLineChars="400"/>
        <w:rPr>
          <w:rFonts w:hint="eastAsia" w:ascii="宋体" w:hAnsi="宋体" w:eastAsia="宋体" w:cs="宋体"/>
          <w:b/>
          <w:snapToGrid w:val="0"/>
          <w:color w:val="auto"/>
          <w:sz w:val="24"/>
          <w:szCs w:val="24"/>
        </w:rPr>
      </w:pPr>
      <w:r>
        <w:rPr>
          <w:rFonts w:hint="eastAsia" w:ascii="宋体" w:hAnsi="宋体" w:eastAsia="宋体" w:cs="宋体"/>
          <w:snapToGrid w:val="0"/>
          <w:color w:val="auto"/>
          <w:sz w:val="24"/>
          <w:szCs w:val="24"/>
        </w:rPr>
        <w:t>本合同的合同附件同属合同文件的组成部分，与合同文件同具法律效力。</w:t>
      </w:r>
    </w:p>
    <w:p w14:paraId="4CE22CA5">
      <w:pPr>
        <w:spacing w:line="360" w:lineRule="auto"/>
        <w:ind w:left="142" w:firstLine="808" w:firstLineChars="337"/>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附件1：总监理工程师委派书</w:t>
      </w:r>
    </w:p>
    <w:p w14:paraId="7487F5DB">
      <w:pPr>
        <w:spacing w:line="360" w:lineRule="auto"/>
        <w:ind w:left="142" w:firstLine="808" w:firstLineChars="337"/>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附件2：项目监理机构人员配置表</w:t>
      </w:r>
    </w:p>
    <w:p w14:paraId="138320E0">
      <w:pPr>
        <w:spacing w:line="360" w:lineRule="auto"/>
        <w:ind w:left="142" w:firstLine="808" w:firstLineChars="337"/>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附件3：安全文明施工违约附录</w:t>
      </w:r>
    </w:p>
    <w:p w14:paraId="4CE53510">
      <w:pPr>
        <w:pStyle w:val="3"/>
        <w:spacing w:before="0" w:after="0" w:line="300" w:lineRule="auto"/>
        <w:jc w:val="left"/>
        <w:rPr>
          <w:rFonts w:hint="eastAsia" w:ascii="宋体" w:hAnsi="宋体" w:eastAsia="宋体" w:cs="宋体"/>
          <w:color w:val="000000" w:themeColor="text1"/>
          <w:sz w:val="24"/>
          <w:szCs w:val="24"/>
          <w:lang w:val="en-US" w:eastAsia="zh-CN"/>
          <w14:textFill>
            <w14:solidFill>
              <w14:schemeClr w14:val="tx1"/>
            </w14:solidFill>
          </w14:textFill>
        </w:rPr>
        <w:sectPr>
          <w:headerReference r:id="rId23" w:type="first"/>
          <w:footerReference r:id="rId26" w:type="first"/>
          <w:headerReference r:id="rId22" w:type="default"/>
          <w:footerReference r:id="rId24" w:type="default"/>
          <w:footerReference r:id="rId25" w:type="even"/>
          <w:pgSz w:w="11906" w:h="16838"/>
          <w:pgMar w:top="1134" w:right="1134" w:bottom="1134" w:left="1418" w:header="851" w:footer="680" w:gutter="0"/>
          <w:pgNumType w:fmt="decimal"/>
          <w:cols w:space="425" w:num="1"/>
          <w:titlePg/>
          <w:docGrid w:linePitch="400" w:charSpace="0"/>
        </w:sectPr>
      </w:pPr>
      <w:bookmarkStart w:id="598" w:name="_Toc29110"/>
      <w:bookmarkStart w:id="599" w:name="_Toc31636"/>
      <w:bookmarkStart w:id="600" w:name="_Toc24534"/>
      <w:bookmarkStart w:id="601" w:name="_Toc23430"/>
      <w:bookmarkStart w:id="602" w:name="_Toc666"/>
      <w:bookmarkStart w:id="603" w:name="_Toc21957"/>
    </w:p>
    <w:p w14:paraId="4995B3FA">
      <w:pPr>
        <w:pStyle w:val="3"/>
        <w:spacing w:before="0" w:after="0" w:line="300" w:lineRule="auto"/>
        <w:jc w:val="left"/>
        <w:rPr>
          <w:rFonts w:hint="eastAsia" w:ascii="宋体" w:hAnsi="宋体" w:cs="宋体"/>
          <w:b/>
          <w:bCs/>
          <w:sz w:val="22"/>
          <w:szCs w:val="22"/>
        </w:rPr>
      </w:pPr>
      <w:bookmarkStart w:id="604" w:name="_Toc26026"/>
      <w:bookmarkStart w:id="605" w:name="_Toc25360"/>
      <w:r>
        <w:rPr>
          <w:rFonts w:hint="eastAsia" w:ascii="宋体" w:hAnsi="宋体" w:eastAsia="宋体" w:cs="宋体"/>
          <w:color w:val="000000" w:themeColor="text1"/>
          <w:sz w:val="24"/>
          <w:szCs w:val="24"/>
          <w:lang w:val="en-US" w:eastAsia="zh-CN"/>
          <w14:textFill>
            <w14:solidFill>
              <w14:schemeClr w14:val="tx1"/>
            </w14:solidFill>
          </w14:textFill>
        </w:rPr>
        <w:t>合同附件</w:t>
      </w:r>
      <w:bookmarkEnd w:id="598"/>
      <w:bookmarkEnd w:id="599"/>
      <w:bookmarkEnd w:id="600"/>
      <w:bookmarkEnd w:id="601"/>
      <w:r>
        <w:rPr>
          <w:rFonts w:hint="eastAsia" w:ascii="宋体" w:hAnsi="宋体" w:eastAsia="宋体" w:cs="宋体"/>
          <w:color w:val="000000" w:themeColor="text1"/>
          <w:sz w:val="24"/>
          <w:szCs w:val="24"/>
          <w:lang w:val="en-US" w:eastAsia="zh-CN"/>
          <w14:textFill>
            <w14:solidFill>
              <w14:schemeClr w14:val="tx1"/>
            </w14:solidFill>
          </w14:textFill>
        </w:rPr>
        <w:t>1</w:t>
      </w:r>
      <w:bookmarkEnd w:id="602"/>
      <w:bookmarkEnd w:id="603"/>
      <w:bookmarkEnd w:id="604"/>
      <w:bookmarkEnd w:id="605"/>
    </w:p>
    <w:p w14:paraId="5B63B155">
      <w:pPr>
        <w:spacing w:before="95" w:line="360" w:lineRule="auto"/>
        <w:ind w:firstLine="3195"/>
        <w:rPr>
          <w:rFonts w:ascii="宋体" w:cs="宋体"/>
          <w:color w:val="auto"/>
          <w:sz w:val="29"/>
          <w:szCs w:val="29"/>
          <w:highlight w:val="none"/>
        </w:rPr>
      </w:pPr>
      <w:bookmarkStart w:id="606" w:name="_Toc28828"/>
      <w:bookmarkStart w:id="607" w:name="_Toc16986"/>
      <w:r>
        <w:rPr>
          <w:rFonts w:ascii="宋体" w:cs="宋体"/>
          <w:color w:val="auto"/>
          <w:sz w:val="29"/>
          <w:szCs w:val="29"/>
          <w:highlight w:val="none"/>
          <w14:textOutline w14:w="5080" w14:cap="flat" w14:cmpd="sng" w14:algn="ctr">
            <w14:solidFill>
              <w14:srgbClr w14:val="000000"/>
            </w14:solidFill>
            <w14:prstDash w14:val="solid"/>
            <w14:miter w14:val="0"/>
          </w14:textOutline>
        </w:rPr>
        <w:t>总监理工程师委派书</w:t>
      </w:r>
    </w:p>
    <w:p w14:paraId="041EA5F2">
      <w:pPr>
        <w:spacing w:line="360" w:lineRule="auto"/>
        <w:rPr>
          <w:rFonts w:cs="Times New Roman"/>
          <w:color w:val="auto"/>
          <w:highlight w:val="none"/>
        </w:rPr>
      </w:pPr>
    </w:p>
    <w:p w14:paraId="5BFD6424">
      <w:pPr>
        <w:tabs>
          <w:tab w:val="left" w:pos="1688"/>
        </w:tabs>
        <w:spacing w:before="69" w:line="360" w:lineRule="auto"/>
        <w:ind w:firstLine="413"/>
        <w:rPr>
          <w:rFonts w:ascii="宋体" w:cs="宋体"/>
          <w:color w:val="auto"/>
          <w:sz w:val="24"/>
          <w:szCs w:val="24"/>
          <w:highlight w:val="none"/>
        </w:rPr>
      </w:pPr>
      <w:r>
        <w:rPr>
          <w:rFonts w:ascii="宋体" w:cs="宋体"/>
          <w:color w:val="auto"/>
          <w:sz w:val="24"/>
          <w:szCs w:val="24"/>
          <w:highlight w:val="none"/>
          <w:u w:val="single"/>
        </w:rPr>
        <w:t xml:space="preserve"> </w:t>
      </w:r>
      <w:r>
        <w:rPr>
          <w:rFonts w:hint="eastAsia" w:ascii="宋体" w:cs="宋体"/>
          <w:color w:val="auto"/>
          <w:sz w:val="24"/>
          <w:szCs w:val="24"/>
          <w:highlight w:val="none"/>
          <w:u w:val="single"/>
          <w:lang w:val="en-US" w:eastAsia="zh-CN"/>
        </w:rPr>
        <w:t xml:space="preserve">                    </w:t>
      </w:r>
      <w:r>
        <w:rPr>
          <w:rFonts w:ascii="宋体" w:cs="宋体"/>
          <w:color w:val="auto"/>
          <w:w w:val="98"/>
          <w:sz w:val="24"/>
          <w:szCs w:val="24"/>
          <w:highlight w:val="none"/>
        </w:rPr>
        <w:t>法定代表人</w:t>
      </w:r>
      <w:r>
        <w:rPr>
          <w:rFonts w:ascii="宋体" w:cs="宋体"/>
          <w:color w:val="auto"/>
          <w:sz w:val="24"/>
          <w:szCs w:val="24"/>
          <w:highlight w:val="none"/>
          <w:u w:val="single"/>
        </w:rPr>
        <w:t xml:space="preserve"> </w:t>
      </w:r>
      <w:r>
        <w:rPr>
          <w:rFonts w:hint="eastAsia" w:ascii="宋体" w:cs="宋体"/>
          <w:color w:val="auto"/>
          <w:sz w:val="24"/>
          <w:szCs w:val="24"/>
          <w:highlight w:val="none"/>
          <w:u w:val="single"/>
          <w:lang w:val="en-US" w:eastAsia="zh-CN"/>
        </w:rPr>
        <w:t xml:space="preserve">        </w:t>
      </w:r>
      <w:r>
        <w:rPr>
          <w:rFonts w:hint="eastAsia" w:ascii="宋体" w:cs="宋体"/>
          <w:color w:val="auto"/>
          <w:sz w:val="24"/>
          <w:szCs w:val="24"/>
          <w:highlight w:val="none"/>
          <w:u w:val="none"/>
          <w:lang w:val="en-US" w:eastAsia="zh-CN"/>
        </w:rPr>
        <w:t>代表本单位</w:t>
      </w:r>
      <w:r>
        <w:rPr>
          <w:rFonts w:ascii="宋体" w:cs="宋体"/>
          <w:color w:val="auto"/>
          <w:w w:val="98"/>
          <w:sz w:val="24"/>
          <w:szCs w:val="24"/>
          <w:highlight w:val="none"/>
        </w:rPr>
        <w:t>委派</w:t>
      </w:r>
      <w:r>
        <w:rPr>
          <w:rFonts w:hint="eastAsia" w:ascii="宋体" w:cs="宋体"/>
          <w:color w:val="auto"/>
          <w:w w:val="98"/>
          <w:sz w:val="24"/>
          <w:szCs w:val="24"/>
          <w:highlight w:val="none"/>
          <w:u w:val="single"/>
          <w:lang w:val="en-US" w:eastAsia="zh-CN"/>
        </w:rPr>
        <w:t xml:space="preserve">       </w:t>
      </w:r>
      <w:r>
        <w:rPr>
          <w:rFonts w:ascii="宋体" w:cs="宋体"/>
          <w:color w:val="auto"/>
          <w:sz w:val="24"/>
          <w:szCs w:val="24"/>
          <w:highlight w:val="none"/>
          <w:u w:val="none"/>
        </w:rPr>
        <w:t xml:space="preserve"> </w:t>
      </w:r>
      <w:r>
        <w:rPr>
          <w:rFonts w:hint="eastAsia" w:ascii="宋体" w:cs="宋体"/>
          <w:color w:val="auto"/>
          <w:sz w:val="24"/>
          <w:szCs w:val="24"/>
          <w:highlight w:val="none"/>
          <w:u w:val="none"/>
          <w:lang w:val="en-US" w:eastAsia="zh-CN"/>
        </w:rPr>
        <w:t>为</w:t>
      </w:r>
      <w:r>
        <w:rPr>
          <w:rFonts w:ascii="宋体" w:cs="宋体"/>
          <w:color w:val="auto"/>
          <w:sz w:val="24"/>
          <w:szCs w:val="24"/>
          <w:highlight w:val="none"/>
          <w:u w:val="none"/>
        </w:rPr>
        <w:t xml:space="preserve"> </w:t>
      </w:r>
      <w:r>
        <w:rPr>
          <w:rFonts w:hint="eastAsia" w:ascii="宋体" w:cs="Times New Roman"/>
          <w:snapToGrid w:val="0"/>
          <w:color w:val="auto"/>
          <w:kern w:val="0"/>
          <w:sz w:val="24"/>
          <w:szCs w:val="24"/>
          <w:highlight w:val="none"/>
          <w:u w:val="single"/>
          <w:lang w:val="en-US" w:eastAsia="zh-CN"/>
        </w:rPr>
        <w:t>重庆海联职业技术学院两江校区项目</w:t>
      </w:r>
      <w:r>
        <w:rPr>
          <w:rFonts w:hint="eastAsia" w:ascii="宋体" w:cs="Times New Roman"/>
          <w:snapToGrid w:val="0"/>
          <w:color w:val="auto"/>
          <w:kern w:val="0"/>
          <w:sz w:val="24"/>
          <w:szCs w:val="24"/>
          <w:highlight w:val="none"/>
          <w:u w:val="single"/>
          <w:lang w:eastAsia="zh-CN"/>
        </w:rPr>
        <w:t>项目监理</w:t>
      </w:r>
      <w:r>
        <w:rPr>
          <w:rFonts w:ascii="宋体" w:cs="宋体"/>
          <w:color w:val="auto"/>
          <w:sz w:val="24"/>
          <w:szCs w:val="24"/>
          <w:highlight w:val="none"/>
          <w:u w:val="single"/>
        </w:rPr>
        <w:t xml:space="preserve"> </w:t>
      </w:r>
      <w:r>
        <w:rPr>
          <w:rFonts w:ascii="宋体" w:cs="宋体"/>
          <w:color w:val="auto"/>
          <w:sz w:val="24"/>
          <w:szCs w:val="24"/>
          <w:highlight w:val="none"/>
        </w:rPr>
        <w:t>的总监理工程师。凡本合同的执行的有关技术、工程进度、现场管理、质量检验、结 算与支付等方面工作，由（姓名）</w:t>
      </w:r>
      <w:r>
        <w:rPr>
          <w:rFonts w:ascii="宋体" w:cs="宋体"/>
          <w:color w:val="auto"/>
          <w:sz w:val="24"/>
          <w:szCs w:val="24"/>
          <w:highlight w:val="none"/>
          <w:u w:val="single"/>
        </w:rPr>
        <w:t xml:space="preserve"> </w:t>
      </w:r>
      <w:r>
        <w:rPr>
          <w:rFonts w:hint="eastAsia" w:ascii="宋体" w:cs="宋体"/>
          <w:color w:val="auto"/>
          <w:sz w:val="24"/>
          <w:szCs w:val="24"/>
          <w:highlight w:val="none"/>
          <w:u w:val="single"/>
          <w:lang w:val="en-US" w:eastAsia="zh-CN"/>
        </w:rPr>
        <w:t xml:space="preserve">        </w:t>
      </w:r>
      <w:r>
        <w:rPr>
          <w:rFonts w:ascii="宋体" w:cs="宋体"/>
          <w:color w:val="auto"/>
          <w:sz w:val="24"/>
          <w:szCs w:val="24"/>
          <w:highlight w:val="none"/>
          <w:u w:val="single"/>
        </w:rPr>
        <w:t xml:space="preserve">  </w:t>
      </w:r>
      <w:r>
        <w:rPr>
          <w:rFonts w:ascii="宋体" w:cs="宋体"/>
          <w:color w:val="auto"/>
          <w:sz w:val="24"/>
          <w:szCs w:val="24"/>
          <w:highlight w:val="none"/>
        </w:rPr>
        <w:t>代表本单位全面负责。</w:t>
      </w:r>
    </w:p>
    <w:p w14:paraId="7140D838">
      <w:pPr>
        <w:spacing w:line="360" w:lineRule="auto"/>
        <w:rPr>
          <w:rFonts w:cs="Times New Roman"/>
          <w:color w:val="auto"/>
          <w:sz w:val="24"/>
          <w:szCs w:val="24"/>
          <w:highlight w:val="none"/>
        </w:rPr>
      </w:pPr>
    </w:p>
    <w:p w14:paraId="7560A15A">
      <w:pPr>
        <w:spacing w:line="360" w:lineRule="auto"/>
        <w:rPr>
          <w:rFonts w:cs="Times New Roman"/>
          <w:color w:val="auto"/>
          <w:sz w:val="24"/>
          <w:szCs w:val="24"/>
          <w:highlight w:val="none"/>
        </w:rPr>
      </w:pPr>
    </w:p>
    <w:p w14:paraId="538B7748">
      <w:pPr>
        <w:spacing w:before="68" w:line="360" w:lineRule="auto"/>
        <w:ind w:firstLine="5468"/>
        <w:rPr>
          <w:rFonts w:ascii="宋体" w:cs="宋体"/>
          <w:color w:val="auto"/>
          <w:sz w:val="24"/>
          <w:szCs w:val="24"/>
          <w:highlight w:val="none"/>
        </w:rPr>
      </w:pPr>
      <w:r>
        <w:rPr>
          <w:rFonts w:ascii="宋体" w:cs="宋体"/>
          <w:color w:val="auto"/>
          <w:sz w:val="24"/>
          <w:szCs w:val="24"/>
          <w:highlight w:val="none"/>
        </w:rPr>
        <w:t>监理人 （盖章）</w:t>
      </w:r>
      <w:r>
        <w:rPr>
          <w:rFonts w:hint="eastAsia" w:ascii="宋体" w:cs="宋体"/>
          <w:color w:val="auto"/>
          <w:sz w:val="24"/>
          <w:szCs w:val="24"/>
          <w:highlight w:val="none"/>
        </w:rPr>
        <w:t>：</w:t>
      </w:r>
    </w:p>
    <w:p w14:paraId="33E20372">
      <w:pPr>
        <w:spacing w:line="360" w:lineRule="auto"/>
        <w:rPr>
          <w:rFonts w:cs="Times New Roman"/>
          <w:color w:val="auto"/>
          <w:sz w:val="24"/>
          <w:szCs w:val="24"/>
          <w:highlight w:val="none"/>
        </w:rPr>
      </w:pPr>
    </w:p>
    <w:p w14:paraId="12051B35">
      <w:pPr>
        <w:spacing w:before="68" w:line="360" w:lineRule="auto"/>
        <w:ind w:firstLine="5473"/>
        <w:rPr>
          <w:rFonts w:ascii="宋体" w:cs="宋体"/>
          <w:color w:val="auto"/>
          <w:sz w:val="24"/>
          <w:szCs w:val="24"/>
          <w:highlight w:val="none"/>
        </w:rPr>
      </w:pPr>
      <w:r>
        <w:rPr>
          <w:rFonts w:ascii="宋体" w:cs="宋体"/>
          <w:color w:val="auto"/>
          <w:position w:val="32"/>
          <w:sz w:val="24"/>
          <w:szCs w:val="24"/>
          <w:highlight w:val="none"/>
        </w:rPr>
        <w:t>总监理工程师（签字）：</w:t>
      </w:r>
    </w:p>
    <w:p w14:paraId="043106D6">
      <w:pPr>
        <w:spacing w:line="360" w:lineRule="auto"/>
        <w:ind w:firstLine="5498"/>
        <w:rPr>
          <w:rFonts w:ascii="宋体" w:cs="宋体"/>
          <w:color w:val="auto"/>
          <w:sz w:val="24"/>
          <w:szCs w:val="24"/>
          <w:highlight w:val="none"/>
        </w:rPr>
      </w:pPr>
      <w:r>
        <w:rPr>
          <w:rFonts w:ascii="宋体" w:cs="宋体"/>
          <w:color w:val="auto"/>
          <w:sz w:val="24"/>
          <w:szCs w:val="24"/>
          <w:highlight w:val="none"/>
        </w:rPr>
        <w:t>法定代表人（签字）：</w:t>
      </w:r>
    </w:p>
    <w:p w14:paraId="5F50166E">
      <w:pPr>
        <w:spacing w:line="360" w:lineRule="auto"/>
        <w:rPr>
          <w:rFonts w:cs="Times New Roman"/>
          <w:color w:val="auto"/>
          <w:sz w:val="24"/>
          <w:szCs w:val="24"/>
          <w:highlight w:val="none"/>
        </w:rPr>
      </w:pPr>
    </w:p>
    <w:p w14:paraId="574F1C2F">
      <w:pPr>
        <w:spacing w:before="69" w:line="360" w:lineRule="auto"/>
        <w:ind w:firstLine="5533"/>
        <w:rPr>
          <w:rFonts w:ascii="宋体" w:cs="宋体"/>
          <w:color w:val="auto"/>
          <w:w w:val="95"/>
          <w:sz w:val="24"/>
          <w:szCs w:val="24"/>
          <w:highlight w:val="none"/>
        </w:rPr>
      </w:pPr>
    </w:p>
    <w:p w14:paraId="1878FBBD">
      <w:pPr>
        <w:spacing w:before="69" w:line="360" w:lineRule="auto"/>
        <w:ind w:firstLine="5533"/>
        <w:rPr>
          <w:rFonts w:ascii="宋体" w:cs="宋体"/>
          <w:color w:val="auto"/>
          <w:w w:val="95"/>
          <w:sz w:val="24"/>
          <w:szCs w:val="24"/>
          <w:highlight w:val="none"/>
        </w:rPr>
      </w:pPr>
      <w:r>
        <w:rPr>
          <w:rFonts w:ascii="宋体" w:cs="宋体"/>
          <w:color w:val="auto"/>
          <w:w w:val="95"/>
          <w:sz w:val="24"/>
          <w:szCs w:val="24"/>
          <w:highlight w:val="none"/>
        </w:rPr>
        <w:t>日期：</w:t>
      </w:r>
      <w:r>
        <w:rPr>
          <w:rFonts w:ascii="宋体" w:cs="宋体"/>
          <w:color w:val="auto"/>
          <w:sz w:val="24"/>
          <w:szCs w:val="24"/>
          <w:highlight w:val="none"/>
        </w:rPr>
        <w:t xml:space="preserve">  </w:t>
      </w:r>
      <w:r>
        <w:rPr>
          <w:rFonts w:hint="eastAsia" w:ascii="宋体" w:cs="宋体"/>
          <w:color w:val="auto"/>
          <w:sz w:val="24"/>
          <w:szCs w:val="24"/>
          <w:highlight w:val="none"/>
        </w:rPr>
        <w:t>202</w:t>
      </w:r>
      <w:r>
        <w:rPr>
          <w:rFonts w:hint="eastAsia" w:ascii="宋体" w:cs="宋体"/>
          <w:color w:val="auto"/>
          <w:sz w:val="24"/>
          <w:szCs w:val="24"/>
          <w:highlight w:val="none"/>
          <w:lang w:val="en-US" w:eastAsia="zh-CN"/>
        </w:rPr>
        <w:t>4</w:t>
      </w:r>
      <w:r>
        <w:rPr>
          <w:rFonts w:ascii="宋体" w:cs="宋体"/>
          <w:color w:val="auto"/>
          <w:w w:val="95"/>
          <w:sz w:val="24"/>
          <w:szCs w:val="24"/>
          <w:highlight w:val="none"/>
        </w:rPr>
        <w:t>年</w:t>
      </w:r>
      <w:r>
        <w:rPr>
          <w:rFonts w:hint="eastAsia" w:ascii="宋体" w:cs="宋体"/>
          <w:color w:val="auto"/>
          <w:w w:val="95"/>
          <w:sz w:val="24"/>
          <w:szCs w:val="24"/>
          <w:highlight w:val="none"/>
          <w:lang w:val="en-US" w:eastAsia="zh-CN"/>
        </w:rPr>
        <w:t xml:space="preserve">   </w:t>
      </w:r>
      <w:r>
        <w:rPr>
          <w:rFonts w:ascii="宋体" w:cs="宋体"/>
          <w:color w:val="auto"/>
          <w:w w:val="95"/>
          <w:sz w:val="24"/>
          <w:szCs w:val="24"/>
          <w:highlight w:val="none"/>
        </w:rPr>
        <w:t>月</w:t>
      </w:r>
      <w:r>
        <w:rPr>
          <w:rFonts w:ascii="宋体" w:cs="宋体"/>
          <w:color w:val="auto"/>
          <w:sz w:val="24"/>
          <w:szCs w:val="24"/>
          <w:highlight w:val="none"/>
        </w:rPr>
        <w:t xml:space="preserve">   </w:t>
      </w:r>
      <w:r>
        <w:rPr>
          <w:rFonts w:ascii="宋体" w:cs="宋体"/>
          <w:color w:val="auto"/>
          <w:w w:val="95"/>
          <w:sz w:val="24"/>
          <w:szCs w:val="24"/>
          <w:highlight w:val="none"/>
        </w:rPr>
        <w:t>日</w:t>
      </w:r>
    </w:p>
    <w:p w14:paraId="72D10282">
      <w:pPr>
        <w:pStyle w:val="3"/>
        <w:spacing w:before="0" w:after="0" w:line="300" w:lineRule="auto"/>
        <w:jc w:val="left"/>
        <w:rPr>
          <w:rFonts w:hint="eastAsia" w:ascii="宋体" w:hAnsi="宋体" w:eastAsia="宋体" w:cs="宋体"/>
          <w:color w:val="000000" w:themeColor="text1"/>
          <w:sz w:val="24"/>
          <w:szCs w:val="24"/>
          <w:lang w:val="en-US" w:eastAsia="zh-CN"/>
          <w14:textFill>
            <w14:solidFill>
              <w14:schemeClr w14:val="tx1"/>
            </w14:solidFill>
          </w14:textFill>
        </w:rPr>
        <w:sectPr>
          <w:pgSz w:w="11906" w:h="16838"/>
          <w:pgMar w:top="1134" w:right="1134" w:bottom="1134" w:left="1418" w:header="851" w:footer="680" w:gutter="0"/>
          <w:pgNumType w:fmt="decimal"/>
          <w:cols w:space="425" w:num="1"/>
          <w:titlePg/>
          <w:docGrid w:linePitch="400" w:charSpace="0"/>
        </w:sectPr>
      </w:pPr>
    </w:p>
    <w:p w14:paraId="28EB6A11">
      <w:pPr>
        <w:pStyle w:val="3"/>
        <w:spacing w:before="0" w:after="0" w:line="300" w:lineRule="auto"/>
        <w:jc w:val="left"/>
        <w:rPr>
          <w:rFonts w:hint="eastAsia" w:ascii="宋体" w:hAnsi="宋体" w:cs="宋体"/>
          <w:b/>
          <w:bCs/>
          <w:sz w:val="22"/>
          <w:szCs w:val="22"/>
        </w:rPr>
      </w:pPr>
      <w:bookmarkStart w:id="608" w:name="_Toc15747"/>
      <w:bookmarkStart w:id="609" w:name="_Toc4354"/>
      <w:r>
        <w:rPr>
          <w:rFonts w:hint="eastAsia" w:ascii="宋体" w:hAnsi="宋体" w:eastAsia="宋体" w:cs="宋体"/>
          <w:color w:val="000000" w:themeColor="text1"/>
          <w:sz w:val="24"/>
          <w:szCs w:val="24"/>
          <w:lang w:val="en-US" w:eastAsia="zh-CN"/>
          <w14:textFill>
            <w14:solidFill>
              <w14:schemeClr w14:val="tx1"/>
            </w14:solidFill>
          </w14:textFill>
        </w:rPr>
        <w:t>合同附件2</w:t>
      </w:r>
      <w:bookmarkEnd w:id="606"/>
      <w:bookmarkEnd w:id="607"/>
      <w:bookmarkEnd w:id="608"/>
      <w:bookmarkEnd w:id="609"/>
    </w:p>
    <w:p w14:paraId="2199B146">
      <w:pPr>
        <w:jc w:val="center"/>
        <w:rPr>
          <w:rFonts w:hint="default" w:ascii="宋体" w:cs="宋体"/>
          <w:color w:val="auto"/>
          <w:w w:val="95"/>
          <w:highlight w:val="none"/>
          <w:lang w:val="en-US" w:eastAsia="zh-CN"/>
        </w:rPr>
      </w:pPr>
      <w:r>
        <w:rPr>
          <w:rFonts w:hint="eastAsia"/>
          <w:b/>
          <w:bCs/>
          <w:color w:val="auto"/>
          <w:sz w:val="32"/>
          <w:szCs w:val="40"/>
          <w:highlight w:val="none"/>
          <w:lang w:val="en-US" w:eastAsia="zh-CN"/>
        </w:rPr>
        <w:t>项目监理机构人员配置表</w:t>
      </w:r>
    </w:p>
    <w:tbl>
      <w:tblPr>
        <w:tblStyle w:val="42"/>
        <w:tblpPr w:leftFromText="180" w:rightFromText="180" w:vertAnchor="text" w:horzAnchor="page" w:tblpX="1263" w:tblpY="748"/>
        <w:tblOverlap w:val="never"/>
        <w:tblW w:w="14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2793"/>
        <w:gridCol w:w="1495"/>
        <w:gridCol w:w="1912"/>
        <w:gridCol w:w="2577"/>
        <w:gridCol w:w="2711"/>
        <w:gridCol w:w="2065"/>
      </w:tblGrid>
      <w:tr w14:paraId="223D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14440" w:type="dxa"/>
            <w:gridSpan w:val="7"/>
          </w:tcPr>
          <w:p w14:paraId="335C202A">
            <w:pPr>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vertAlign w:val="baseline"/>
                <w:lang w:val="en-US" w:eastAsia="zh-CN"/>
              </w:rPr>
            </w:pPr>
          </w:p>
          <w:p w14:paraId="1637AEB7">
            <w:pPr>
              <w:keepNext w:val="0"/>
              <w:keepLines w:val="0"/>
              <w:pageBreakBefore w:val="0"/>
              <w:widowControl w:val="0"/>
              <w:kinsoku/>
              <w:wordWrap/>
              <w:overflowPunct/>
              <w:topLinePunct w:val="0"/>
              <w:autoSpaceDE/>
              <w:autoSpaceDN/>
              <w:bidi w:val="0"/>
              <w:adjustRightInd/>
              <w:snapToGrid/>
              <w:spacing w:before="100" w:after="100" w:line="24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致：</w:t>
            </w:r>
            <w:r>
              <w:rPr>
                <w:rFonts w:hint="eastAsia" w:ascii="宋体" w:hAnsi="宋体" w:eastAsia="宋体" w:cs="宋体"/>
                <w:color w:val="auto"/>
                <w:sz w:val="24"/>
                <w:szCs w:val="24"/>
                <w:highlight w:val="none"/>
                <w:u w:val="single"/>
                <w:vertAlign w:val="baseline"/>
                <w:lang w:val="en-US" w:eastAsia="zh-CN"/>
              </w:rPr>
              <w:t xml:space="preserve">                                </w:t>
            </w:r>
            <w:r>
              <w:rPr>
                <w:rFonts w:hint="eastAsia" w:ascii="宋体" w:hAnsi="宋体" w:eastAsia="宋体" w:cs="宋体"/>
                <w:color w:val="auto"/>
                <w:sz w:val="24"/>
                <w:szCs w:val="24"/>
                <w:highlight w:val="none"/>
                <w:vertAlign w:val="baseline"/>
                <w:lang w:val="en-US" w:eastAsia="zh-CN"/>
              </w:rPr>
              <w:t>（建设单位）</w:t>
            </w:r>
          </w:p>
          <w:p w14:paraId="470DE526">
            <w:pPr>
              <w:keepNext w:val="0"/>
              <w:keepLines w:val="0"/>
              <w:pageBreakBefore w:val="0"/>
              <w:widowControl w:val="0"/>
              <w:kinsoku/>
              <w:wordWrap/>
              <w:overflowPunct/>
              <w:topLinePunct w:val="0"/>
              <w:autoSpaceDE/>
              <w:autoSpaceDN/>
              <w:bidi w:val="0"/>
              <w:adjustRightInd/>
              <w:snapToGrid/>
              <w:spacing w:before="100" w:after="100" w:line="36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    我公司任命以下人员组成本工程的项目监理机构，履行建设工程监理合同，实施项目监理机构工作。</w:t>
            </w:r>
          </w:p>
        </w:tc>
      </w:tr>
      <w:tr w14:paraId="1024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87" w:type="dxa"/>
            <w:vAlign w:val="center"/>
          </w:tcPr>
          <w:p w14:paraId="06929C8E">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序号</w:t>
            </w:r>
          </w:p>
        </w:tc>
        <w:tc>
          <w:tcPr>
            <w:tcW w:w="2793" w:type="dxa"/>
            <w:vAlign w:val="center"/>
          </w:tcPr>
          <w:p w14:paraId="345D3D73">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职务</w:t>
            </w:r>
          </w:p>
        </w:tc>
        <w:tc>
          <w:tcPr>
            <w:tcW w:w="1495" w:type="dxa"/>
            <w:vAlign w:val="center"/>
          </w:tcPr>
          <w:p w14:paraId="2508A788">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姓名</w:t>
            </w:r>
          </w:p>
        </w:tc>
        <w:tc>
          <w:tcPr>
            <w:tcW w:w="1912" w:type="dxa"/>
            <w:vAlign w:val="center"/>
          </w:tcPr>
          <w:p w14:paraId="3BF3108C">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专业技术职称及证书号</w:t>
            </w:r>
          </w:p>
        </w:tc>
        <w:tc>
          <w:tcPr>
            <w:tcW w:w="2577" w:type="dxa"/>
            <w:vAlign w:val="center"/>
          </w:tcPr>
          <w:p w14:paraId="73E7FD86">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执业资格及证书号</w:t>
            </w:r>
          </w:p>
        </w:tc>
        <w:tc>
          <w:tcPr>
            <w:tcW w:w="2711" w:type="dxa"/>
            <w:vAlign w:val="center"/>
          </w:tcPr>
          <w:p w14:paraId="3916021E">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身份证号</w:t>
            </w:r>
          </w:p>
        </w:tc>
        <w:tc>
          <w:tcPr>
            <w:tcW w:w="2065" w:type="dxa"/>
            <w:vAlign w:val="center"/>
          </w:tcPr>
          <w:p w14:paraId="385253E5">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5C0E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87" w:type="dxa"/>
          </w:tcPr>
          <w:p w14:paraId="45995145">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793" w:type="dxa"/>
            <w:vAlign w:val="center"/>
          </w:tcPr>
          <w:p w14:paraId="2B34BD3D">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总监理工程师</w:t>
            </w:r>
          </w:p>
        </w:tc>
        <w:tc>
          <w:tcPr>
            <w:tcW w:w="1495" w:type="dxa"/>
          </w:tcPr>
          <w:p w14:paraId="56A76220">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1912" w:type="dxa"/>
          </w:tcPr>
          <w:p w14:paraId="6BD983CB">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577" w:type="dxa"/>
          </w:tcPr>
          <w:p w14:paraId="42B70FA2">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711" w:type="dxa"/>
          </w:tcPr>
          <w:p w14:paraId="39F102D8">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065" w:type="dxa"/>
          </w:tcPr>
          <w:p w14:paraId="33FDE72E">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r>
      <w:tr w14:paraId="73A3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87" w:type="dxa"/>
          </w:tcPr>
          <w:p w14:paraId="671F69B6">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2793" w:type="dxa"/>
            <w:vAlign w:val="center"/>
          </w:tcPr>
          <w:p w14:paraId="145B613A">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总监理工程师代表</w:t>
            </w:r>
          </w:p>
        </w:tc>
        <w:tc>
          <w:tcPr>
            <w:tcW w:w="1495" w:type="dxa"/>
          </w:tcPr>
          <w:p w14:paraId="629F596C">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1912" w:type="dxa"/>
          </w:tcPr>
          <w:p w14:paraId="4EBD162B">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577" w:type="dxa"/>
          </w:tcPr>
          <w:p w14:paraId="6A016905">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711" w:type="dxa"/>
          </w:tcPr>
          <w:p w14:paraId="339FEA7B">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065" w:type="dxa"/>
          </w:tcPr>
          <w:p w14:paraId="0FB2519E">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r>
      <w:tr w14:paraId="3D82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87" w:type="dxa"/>
          </w:tcPr>
          <w:p w14:paraId="72298377">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2793" w:type="dxa"/>
            <w:vMerge w:val="restart"/>
            <w:vAlign w:val="center"/>
          </w:tcPr>
          <w:p w14:paraId="3DBA5BBB">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专业监理工程师</w:t>
            </w:r>
          </w:p>
        </w:tc>
        <w:tc>
          <w:tcPr>
            <w:tcW w:w="1495" w:type="dxa"/>
          </w:tcPr>
          <w:p w14:paraId="2069FEF9">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1912" w:type="dxa"/>
          </w:tcPr>
          <w:p w14:paraId="41658512">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577" w:type="dxa"/>
          </w:tcPr>
          <w:p w14:paraId="270F9193">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711" w:type="dxa"/>
          </w:tcPr>
          <w:p w14:paraId="27DFC8EA">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065" w:type="dxa"/>
          </w:tcPr>
          <w:p w14:paraId="1151020D">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r>
      <w:tr w14:paraId="0B95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87" w:type="dxa"/>
          </w:tcPr>
          <w:p w14:paraId="37AA3BA5">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2793" w:type="dxa"/>
            <w:vMerge w:val="continue"/>
            <w:vAlign w:val="center"/>
          </w:tcPr>
          <w:p w14:paraId="28849678">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p>
        </w:tc>
        <w:tc>
          <w:tcPr>
            <w:tcW w:w="1495" w:type="dxa"/>
          </w:tcPr>
          <w:p w14:paraId="4D3110F7">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1912" w:type="dxa"/>
          </w:tcPr>
          <w:p w14:paraId="1ECB9F4E">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577" w:type="dxa"/>
          </w:tcPr>
          <w:p w14:paraId="27E15135">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711" w:type="dxa"/>
          </w:tcPr>
          <w:p w14:paraId="35C4D86E">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065" w:type="dxa"/>
          </w:tcPr>
          <w:p w14:paraId="4D4AE460">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r>
      <w:tr w14:paraId="0D71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87" w:type="dxa"/>
          </w:tcPr>
          <w:p w14:paraId="1795BA58">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5</w:t>
            </w:r>
          </w:p>
        </w:tc>
        <w:tc>
          <w:tcPr>
            <w:tcW w:w="2793" w:type="dxa"/>
            <w:vMerge w:val="restart"/>
            <w:vAlign w:val="center"/>
          </w:tcPr>
          <w:p w14:paraId="01F8D1E3">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监理员</w:t>
            </w:r>
            <w:bookmarkStart w:id="612" w:name="_GoBack"/>
            <w:bookmarkEnd w:id="612"/>
          </w:p>
        </w:tc>
        <w:tc>
          <w:tcPr>
            <w:tcW w:w="1495" w:type="dxa"/>
          </w:tcPr>
          <w:p w14:paraId="40F0749F">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1912" w:type="dxa"/>
          </w:tcPr>
          <w:p w14:paraId="0F9598D3">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577" w:type="dxa"/>
          </w:tcPr>
          <w:p w14:paraId="29587A38">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711" w:type="dxa"/>
          </w:tcPr>
          <w:p w14:paraId="0AE8A3EC">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065" w:type="dxa"/>
          </w:tcPr>
          <w:p w14:paraId="347A181D">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r>
      <w:tr w14:paraId="1B0C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87" w:type="dxa"/>
          </w:tcPr>
          <w:p w14:paraId="518AAAC4">
            <w:pPr>
              <w:autoSpaceDE w:val="0"/>
              <w:autoSpaceDN w:val="0"/>
              <w:adjustRightInd w:val="0"/>
              <w:spacing w:before="100" w:after="100"/>
              <w:jc w:val="center"/>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6</w:t>
            </w:r>
          </w:p>
        </w:tc>
        <w:tc>
          <w:tcPr>
            <w:tcW w:w="2793" w:type="dxa"/>
            <w:vMerge w:val="continue"/>
          </w:tcPr>
          <w:p w14:paraId="581B3110">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1495" w:type="dxa"/>
          </w:tcPr>
          <w:p w14:paraId="4F1AD2C1">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1912" w:type="dxa"/>
          </w:tcPr>
          <w:p w14:paraId="7FAB0F6F">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577" w:type="dxa"/>
          </w:tcPr>
          <w:p w14:paraId="0FE50A91">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711" w:type="dxa"/>
          </w:tcPr>
          <w:p w14:paraId="0B5D1FA1">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c>
          <w:tcPr>
            <w:tcW w:w="2065" w:type="dxa"/>
          </w:tcPr>
          <w:p w14:paraId="4A1AC79C">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tc>
      </w:tr>
      <w:tr w14:paraId="2869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1" w:hRule="atLeast"/>
        </w:trPr>
        <w:tc>
          <w:tcPr>
            <w:tcW w:w="14440" w:type="dxa"/>
            <w:gridSpan w:val="7"/>
          </w:tcPr>
          <w:p w14:paraId="0790B93C">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p w14:paraId="38858A8F">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p>
          <w:p w14:paraId="3401FECF">
            <w:pPr>
              <w:autoSpaceDE w:val="0"/>
              <w:autoSpaceDN w:val="0"/>
              <w:adjustRightInd w:val="0"/>
              <w:spacing w:before="100" w:after="100"/>
              <w:ind w:firstLine="0"/>
              <w:jc w:val="both"/>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单位法定代表人（签字）：                              工程监理单位（盖章）：</w:t>
            </w:r>
          </w:p>
          <w:p w14:paraId="3AA66CA9">
            <w:pPr>
              <w:autoSpaceDE w:val="0"/>
              <w:autoSpaceDN w:val="0"/>
              <w:adjustRightInd w:val="0"/>
              <w:spacing w:before="100" w:after="100"/>
              <w:ind w:firstLine="0"/>
              <w:jc w:val="both"/>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 </w:t>
            </w:r>
          </w:p>
          <w:p w14:paraId="2B986678">
            <w:pPr>
              <w:autoSpaceDE w:val="0"/>
              <w:autoSpaceDN w:val="0"/>
              <w:adjustRightInd w:val="0"/>
              <w:spacing w:before="100" w:after="100"/>
              <w:jc w:val="both"/>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 xml:space="preserve">                                                         年   月   日                                                     </w:t>
            </w:r>
          </w:p>
        </w:tc>
      </w:tr>
    </w:tbl>
    <w:p w14:paraId="0F7F24E1">
      <w:pPr>
        <w:spacing w:line="360" w:lineRule="auto"/>
        <w:rPr>
          <w:rFonts w:cs="Times New Roman"/>
          <w:color w:val="auto"/>
          <w:sz w:val="18"/>
          <w:szCs w:val="20"/>
          <w:highlight w:val="none"/>
        </w:rPr>
      </w:pPr>
    </w:p>
    <w:p w14:paraId="71A162B6">
      <w:pPr>
        <w:spacing w:line="360" w:lineRule="auto"/>
        <w:rPr>
          <w:rFonts w:cs="Times New Roman"/>
          <w:color w:val="auto"/>
          <w:highlight w:val="none"/>
        </w:rPr>
        <w:sectPr>
          <w:pgSz w:w="16845" w:h="11910" w:orient="landscape"/>
          <w:pgMar w:top="1419" w:right="1134" w:bottom="1134" w:left="1134" w:header="567" w:footer="567" w:gutter="0"/>
          <w:pgNumType w:fmt="decimal"/>
          <w:cols w:space="720" w:num="1"/>
          <w:docGrid w:linePitch="312" w:charSpace="0"/>
        </w:sectPr>
      </w:pPr>
    </w:p>
    <w:p w14:paraId="58BE682C">
      <w:pPr>
        <w:pStyle w:val="3"/>
        <w:spacing w:before="0" w:after="0" w:line="300" w:lineRule="auto"/>
        <w:jc w:val="left"/>
        <w:rPr>
          <w:rFonts w:hint="eastAsia" w:ascii="宋体" w:hAnsi="宋体" w:eastAsia="宋体" w:cs="宋体"/>
          <w:color w:val="000000" w:themeColor="text1"/>
          <w:sz w:val="24"/>
          <w:szCs w:val="24"/>
          <w:lang w:val="en-US" w:eastAsia="zh-CN"/>
          <w14:textFill>
            <w14:solidFill>
              <w14:schemeClr w14:val="tx1"/>
            </w14:solidFill>
          </w14:textFill>
        </w:rPr>
      </w:pPr>
      <w:bookmarkStart w:id="610" w:name="_Toc14846"/>
      <w:bookmarkStart w:id="611" w:name="_Toc31373"/>
      <w:r>
        <w:rPr>
          <w:rFonts w:hint="eastAsia" w:ascii="宋体" w:hAnsi="宋体" w:eastAsia="宋体" w:cs="宋体"/>
          <w:color w:val="000000" w:themeColor="text1"/>
          <w:sz w:val="24"/>
          <w:szCs w:val="24"/>
          <w:lang w:val="en-US" w:eastAsia="zh-CN"/>
          <w14:textFill>
            <w14:solidFill>
              <w14:schemeClr w14:val="tx1"/>
            </w14:solidFill>
          </w14:textFill>
        </w:rPr>
        <w:t>合同附件3：</w:t>
      </w:r>
      <w:bookmarkEnd w:id="610"/>
      <w:bookmarkEnd w:id="611"/>
    </w:p>
    <w:p w14:paraId="064018F5">
      <w:pPr>
        <w:spacing w:line="480" w:lineRule="auto"/>
        <w:jc w:val="center"/>
        <w:rPr>
          <w:rFonts w:ascii="宋体"/>
          <w:b/>
          <w:bCs/>
          <w:color w:val="auto"/>
          <w:sz w:val="24"/>
          <w:szCs w:val="24"/>
          <w:highlight w:val="none"/>
          <w:u w:color="000000"/>
        </w:rPr>
      </w:pPr>
      <w:r>
        <w:rPr>
          <w:rFonts w:hint="eastAsia" w:ascii="宋体"/>
          <w:b/>
          <w:bCs/>
          <w:color w:val="auto"/>
          <w:sz w:val="24"/>
          <w:szCs w:val="24"/>
          <w:highlight w:val="none"/>
          <w:u w:color="000000"/>
        </w:rPr>
        <w:t>安全文明施工违约附录</w:t>
      </w:r>
    </w:p>
    <w:tbl>
      <w:tblPr>
        <w:tblStyle w:val="41"/>
        <w:tblW w:w="9726" w:type="dxa"/>
        <w:tblInd w:w="-11" w:type="dxa"/>
        <w:tblLayout w:type="autofit"/>
        <w:tblCellMar>
          <w:top w:w="0" w:type="dxa"/>
          <w:left w:w="0" w:type="dxa"/>
          <w:bottom w:w="0" w:type="dxa"/>
          <w:right w:w="0" w:type="dxa"/>
        </w:tblCellMar>
      </w:tblPr>
      <w:tblGrid>
        <w:gridCol w:w="652"/>
        <w:gridCol w:w="510"/>
        <w:gridCol w:w="1252"/>
        <w:gridCol w:w="5562"/>
        <w:gridCol w:w="1750"/>
      </w:tblGrid>
      <w:tr w14:paraId="3B8C64A1">
        <w:tblPrEx>
          <w:tblCellMar>
            <w:top w:w="0" w:type="dxa"/>
            <w:left w:w="0" w:type="dxa"/>
            <w:bottom w:w="0" w:type="dxa"/>
            <w:right w:w="0" w:type="dxa"/>
          </w:tblCellMar>
        </w:tblPrEx>
        <w:trPr>
          <w:trHeight w:val="567" w:hRule="atLeast"/>
        </w:trPr>
        <w:tc>
          <w:tcPr>
            <w:tcW w:w="652" w:type="dxa"/>
            <w:tcBorders>
              <w:top w:val="single" w:color="000000" w:sz="8" w:space="0"/>
              <w:left w:val="single" w:color="000000" w:sz="8" w:space="0"/>
              <w:bottom w:val="single" w:color="000000" w:sz="8" w:space="0"/>
              <w:right w:val="single" w:color="000000" w:sz="8" w:space="0"/>
            </w:tcBorders>
            <w:tcMar>
              <w:top w:w="10" w:type="dxa"/>
              <w:left w:w="10" w:type="dxa"/>
              <w:right w:w="10" w:type="dxa"/>
            </w:tcMar>
            <w:vAlign w:val="center"/>
          </w:tcPr>
          <w:p w14:paraId="104223D4">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510" w:type="dxa"/>
            <w:tcBorders>
              <w:top w:val="single" w:color="000000" w:sz="8" w:space="0"/>
              <w:left w:val="nil"/>
              <w:bottom w:val="single" w:color="000000" w:sz="8" w:space="0"/>
              <w:right w:val="single" w:color="000000" w:sz="8" w:space="0"/>
            </w:tcBorders>
            <w:tcMar>
              <w:top w:w="10" w:type="dxa"/>
              <w:left w:w="10" w:type="dxa"/>
              <w:right w:w="10" w:type="dxa"/>
            </w:tcMar>
            <w:vAlign w:val="center"/>
          </w:tcPr>
          <w:p w14:paraId="7EFE5FD5">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1252" w:type="dxa"/>
            <w:tcBorders>
              <w:top w:val="single" w:color="000000" w:sz="8" w:space="0"/>
              <w:left w:val="nil"/>
              <w:bottom w:val="single" w:color="000000" w:sz="8" w:space="0"/>
              <w:right w:val="single" w:color="000000" w:sz="8" w:space="0"/>
            </w:tcBorders>
            <w:vAlign w:val="center"/>
          </w:tcPr>
          <w:p w14:paraId="0E3FC5C9">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w:t>
            </w:r>
          </w:p>
        </w:tc>
        <w:tc>
          <w:tcPr>
            <w:tcW w:w="5562" w:type="dxa"/>
            <w:tcBorders>
              <w:top w:val="single" w:color="000000" w:sz="8" w:space="0"/>
              <w:left w:val="nil"/>
              <w:bottom w:val="single" w:color="000000" w:sz="8" w:space="0"/>
              <w:right w:val="single" w:color="000000" w:sz="8" w:space="0"/>
            </w:tcBorders>
            <w:vAlign w:val="center"/>
          </w:tcPr>
          <w:p w14:paraId="713FECF3">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安全文明施工事项</w:t>
            </w:r>
          </w:p>
        </w:tc>
        <w:tc>
          <w:tcPr>
            <w:tcW w:w="1750" w:type="dxa"/>
            <w:tcBorders>
              <w:top w:val="single" w:color="000000" w:sz="8" w:space="0"/>
              <w:left w:val="nil"/>
              <w:bottom w:val="single" w:color="000000" w:sz="8" w:space="0"/>
              <w:right w:val="single" w:color="000000" w:sz="8" w:space="0"/>
            </w:tcBorders>
            <w:tcMar>
              <w:top w:w="10" w:type="dxa"/>
              <w:left w:w="10" w:type="dxa"/>
              <w:right w:w="10" w:type="dxa"/>
            </w:tcMar>
            <w:vAlign w:val="center"/>
          </w:tcPr>
          <w:p w14:paraId="236D7F32">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应承担违约金额（元）</w:t>
            </w:r>
          </w:p>
        </w:tc>
      </w:tr>
      <w:tr w14:paraId="627F7139">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06897E2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10" w:type="dxa"/>
            <w:vMerge w:val="restart"/>
            <w:tcBorders>
              <w:top w:val="nil"/>
              <w:left w:val="nil"/>
              <w:bottom w:val="single" w:color="000000" w:sz="8" w:space="0"/>
              <w:right w:val="single" w:color="000000" w:sz="8" w:space="0"/>
            </w:tcBorders>
            <w:tcMar>
              <w:top w:w="10" w:type="dxa"/>
              <w:left w:w="10" w:type="dxa"/>
              <w:right w:w="10" w:type="dxa"/>
            </w:tcMar>
            <w:vAlign w:val="center"/>
          </w:tcPr>
          <w:p w14:paraId="0782F3E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到岗</w:t>
            </w:r>
          </w:p>
          <w:p w14:paraId="1FEA038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履职</w:t>
            </w:r>
          </w:p>
        </w:tc>
        <w:tc>
          <w:tcPr>
            <w:tcW w:w="1252" w:type="dxa"/>
            <w:vMerge w:val="restart"/>
            <w:tcBorders>
              <w:top w:val="nil"/>
              <w:left w:val="nil"/>
              <w:bottom w:val="single" w:color="000000" w:sz="8" w:space="0"/>
              <w:right w:val="single" w:color="000000" w:sz="8" w:space="0"/>
            </w:tcBorders>
            <w:vAlign w:val="center"/>
          </w:tcPr>
          <w:p w14:paraId="6FD09CE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项目经理、技术负责人、项目负责人、总监理工程师等主要管理人员到岗履职</w:t>
            </w:r>
          </w:p>
        </w:tc>
        <w:tc>
          <w:tcPr>
            <w:tcW w:w="5562" w:type="dxa"/>
            <w:tcBorders>
              <w:top w:val="nil"/>
              <w:left w:val="nil"/>
              <w:bottom w:val="single" w:color="000000" w:sz="8" w:space="0"/>
              <w:right w:val="single" w:color="000000" w:sz="8" w:space="0"/>
            </w:tcBorders>
            <w:vAlign w:val="center"/>
          </w:tcPr>
          <w:p w14:paraId="675CBD5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每月在施工现场的天数少于约定天数。</w:t>
            </w:r>
          </w:p>
        </w:tc>
        <w:tc>
          <w:tcPr>
            <w:tcW w:w="1750" w:type="dxa"/>
            <w:tcBorders>
              <w:top w:val="single" w:color="000000" w:sz="8" w:space="0"/>
              <w:left w:val="nil"/>
              <w:bottom w:val="single" w:color="000000" w:sz="8" w:space="0"/>
              <w:right w:val="single" w:color="000000" w:sz="8" w:space="0"/>
            </w:tcBorders>
            <w:tcMar>
              <w:top w:w="10" w:type="dxa"/>
              <w:left w:w="10" w:type="dxa"/>
              <w:right w:w="10" w:type="dxa"/>
            </w:tcMar>
            <w:vAlign w:val="center"/>
          </w:tcPr>
          <w:p w14:paraId="762DAAD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00元/天</w:t>
            </w:r>
          </w:p>
        </w:tc>
      </w:tr>
      <w:tr w14:paraId="0491ABAC">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350A350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70C49586">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2BFD1962">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39D6B34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未经批准，擅自离开施工现场（超过约定时间）的。</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1C4A7F6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100元/次</w:t>
            </w:r>
          </w:p>
        </w:tc>
      </w:tr>
      <w:tr w14:paraId="396658A2">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17A1434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39ACCFFF">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265D6631">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1124F43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未经</w:t>
            </w:r>
            <w:r>
              <w:rPr>
                <w:rFonts w:hint="eastAsia" w:ascii="宋体" w:hAnsi="宋体" w:eastAsia="宋体" w:cs="宋体"/>
                <w:color w:val="auto"/>
                <w:sz w:val="24"/>
                <w:szCs w:val="24"/>
                <w:highlight w:val="none"/>
                <w:lang w:eastAsia="zh-CN"/>
              </w:rPr>
              <w:t>批准</w:t>
            </w:r>
            <w:r>
              <w:rPr>
                <w:rFonts w:hint="eastAsia" w:ascii="宋体" w:hAnsi="宋体" w:eastAsia="宋体" w:cs="宋体"/>
                <w:color w:val="auto"/>
                <w:sz w:val="24"/>
                <w:szCs w:val="24"/>
                <w:highlight w:val="none"/>
              </w:rPr>
              <w:t>，擅自更换项目经理、项目负责人、技术负责人、总监理工程师的。</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08BA868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按合同违约责任条款执行</w:t>
            </w:r>
          </w:p>
        </w:tc>
      </w:tr>
      <w:tr w14:paraId="2DC3A1D2">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vAlign w:val="center"/>
          </w:tcPr>
          <w:p w14:paraId="49C9E17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p>
        </w:tc>
        <w:tc>
          <w:tcPr>
            <w:tcW w:w="510" w:type="dxa"/>
            <w:vMerge w:val="continue"/>
            <w:tcBorders>
              <w:top w:val="nil"/>
              <w:left w:val="nil"/>
              <w:bottom w:val="single" w:color="000000" w:sz="8" w:space="0"/>
              <w:right w:val="single" w:color="000000" w:sz="8" w:space="0"/>
            </w:tcBorders>
            <w:vAlign w:val="center"/>
          </w:tcPr>
          <w:p w14:paraId="5D56B918">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21F7D7D5">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408BBDC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未经</w:t>
            </w:r>
            <w:r>
              <w:rPr>
                <w:rFonts w:hint="eastAsia" w:ascii="宋体" w:hAnsi="宋体" w:eastAsia="宋体" w:cs="宋体"/>
                <w:color w:val="auto"/>
                <w:sz w:val="24"/>
                <w:szCs w:val="24"/>
                <w:highlight w:val="none"/>
                <w:lang w:eastAsia="zh-CN"/>
              </w:rPr>
              <w:t>批准</w:t>
            </w:r>
            <w:r>
              <w:rPr>
                <w:rFonts w:hint="eastAsia" w:ascii="宋体" w:hAnsi="宋体" w:eastAsia="宋体" w:cs="宋体"/>
                <w:color w:val="auto"/>
                <w:sz w:val="24"/>
                <w:szCs w:val="24"/>
                <w:highlight w:val="none"/>
              </w:rPr>
              <w:t>，擅自更换安全负责人、专业监理工程师、专业负责人、专职安全员等主要管理人员的。</w:t>
            </w:r>
          </w:p>
        </w:tc>
        <w:tc>
          <w:tcPr>
            <w:tcW w:w="1750" w:type="dxa"/>
            <w:tcBorders>
              <w:top w:val="nil"/>
              <w:left w:val="nil"/>
              <w:bottom w:val="single" w:color="000000" w:sz="8" w:space="0"/>
              <w:right w:val="single" w:color="000000" w:sz="8" w:space="0"/>
            </w:tcBorders>
            <w:vAlign w:val="center"/>
          </w:tcPr>
          <w:p w14:paraId="1EF2092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按合同违约责任条款执行</w:t>
            </w:r>
          </w:p>
        </w:tc>
      </w:tr>
      <w:tr w14:paraId="55A67ADB">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vAlign w:val="center"/>
          </w:tcPr>
          <w:p w14:paraId="7DA10D7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p>
        </w:tc>
        <w:tc>
          <w:tcPr>
            <w:tcW w:w="510" w:type="dxa"/>
            <w:vMerge w:val="continue"/>
            <w:tcBorders>
              <w:top w:val="nil"/>
              <w:left w:val="nil"/>
              <w:bottom w:val="single" w:color="000000" w:sz="8" w:space="0"/>
              <w:right w:val="single" w:color="000000" w:sz="8" w:space="0"/>
            </w:tcBorders>
            <w:vAlign w:val="center"/>
          </w:tcPr>
          <w:p w14:paraId="74C0E389">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06A260D9">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7682EE5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项目经理未实施带班检查、他人</w:t>
            </w:r>
            <w:r>
              <w:rPr>
                <w:rFonts w:hint="eastAsia" w:ascii="宋体" w:hAnsi="宋体" w:eastAsia="宋体" w:cs="宋体"/>
                <w:color w:val="auto"/>
                <w:sz w:val="24"/>
                <w:szCs w:val="24"/>
                <w:highlight w:val="none"/>
                <w:lang w:eastAsia="zh-CN"/>
              </w:rPr>
              <w:t>代写</w:t>
            </w:r>
            <w:r>
              <w:rPr>
                <w:rFonts w:hint="eastAsia" w:ascii="宋体" w:hAnsi="宋体" w:eastAsia="宋体" w:cs="宋体"/>
                <w:color w:val="auto"/>
                <w:sz w:val="24"/>
                <w:szCs w:val="24"/>
                <w:highlight w:val="none"/>
              </w:rPr>
              <w:t>领导带班记录。</w:t>
            </w:r>
          </w:p>
        </w:tc>
        <w:tc>
          <w:tcPr>
            <w:tcW w:w="1750" w:type="dxa"/>
            <w:tcBorders>
              <w:top w:val="nil"/>
              <w:left w:val="nil"/>
              <w:bottom w:val="single" w:color="000000" w:sz="8" w:space="0"/>
              <w:right w:val="single" w:color="000000" w:sz="8" w:space="0"/>
            </w:tcBorders>
            <w:vAlign w:val="center"/>
          </w:tcPr>
          <w:p w14:paraId="311BCD9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元/次</w:t>
            </w:r>
          </w:p>
        </w:tc>
      </w:tr>
      <w:tr w14:paraId="025FD4CB">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52CDB5B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p>
        </w:tc>
        <w:tc>
          <w:tcPr>
            <w:tcW w:w="510" w:type="dxa"/>
            <w:vMerge w:val="restart"/>
            <w:tcBorders>
              <w:top w:val="nil"/>
              <w:left w:val="nil"/>
              <w:bottom w:val="single" w:color="000000" w:sz="8" w:space="0"/>
              <w:right w:val="single" w:color="000000" w:sz="8" w:space="0"/>
            </w:tcBorders>
            <w:tcMar>
              <w:top w:w="10" w:type="dxa"/>
              <w:left w:w="10" w:type="dxa"/>
              <w:right w:w="10" w:type="dxa"/>
            </w:tcMar>
            <w:vAlign w:val="center"/>
          </w:tcPr>
          <w:p w14:paraId="41554F6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文明</w:t>
            </w:r>
          </w:p>
          <w:p w14:paraId="6CE6C30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w:t>
            </w:r>
          </w:p>
        </w:tc>
        <w:tc>
          <w:tcPr>
            <w:tcW w:w="1252" w:type="dxa"/>
            <w:vMerge w:val="restart"/>
            <w:tcBorders>
              <w:top w:val="nil"/>
              <w:left w:val="nil"/>
              <w:bottom w:val="single" w:color="000000" w:sz="8" w:space="0"/>
              <w:right w:val="single" w:color="000000" w:sz="8" w:space="0"/>
            </w:tcBorders>
            <w:vAlign w:val="center"/>
          </w:tcPr>
          <w:p w14:paraId="1C3608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文明施工与环境保护</w:t>
            </w:r>
          </w:p>
        </w:tc>
        <w:tc>
          <w:tcPr>
            <w:tcW w:w="5562" w:type="dxa"/>
            <w:tcBorders>
              <w:top w:val="nil"/>
              <w:left w:val="nil"/>
              <w:bottom w:val="single" w:color="000000" w:sz="8" w:space="0"/>
              <w:right w:val="single" w:color="000000" w:sz="8" w:space="0"/>
            </w:tcBorders>
            <w:vAlign w:val="center"/>
          </w:tcPr>
          <w:p w14:paraId="7DB12A9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施工场地：施工现场不平整、干净、整洁、有序的；物料堆放不整齐；出入口、标识标牌、安全网未设置或设置不符合《重庆高新区房屋建筑和市政基础设施工程开工条件手册》要求的。</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46DF7C2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00元/次</w:t>
            </w:r>
          </w:p>
        </w:tc>
      </w:tr>
      <w:tr w14:paraId="3F34462B">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vAlign w:val="center"/>
          </w:tcPr>
          <w:p w14:paraId="46FFAE4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p>
        </w:tc>
        <w:tc>
          <w:tcPr>
            <w:tcW w:w="510" w:type="dxa"/>
            <w:vMerge w:val="continue"/>
            <w:tcBorders>
              <w:top w:val="nil"/>
              <w:left w:val="nil"/>
              <w:bottom w:val="single" w:color="000000" w:sz="8" w:space="0"/>
              <w:right w:val="single" w:color="000000" w:sz="8" w:space="0"/>
            </w:tcBorders>
            <w:vAlign w:val="center"/>
          </w:tcPr>
          <w:p w14:paraId="24AEB0F2">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36AA3B08">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7D69735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扬尘和噪声污染控制：未采取降尘控噪措施或降尘控噪措施不符合国家或重庆市地方或高新区相关强制标准要求的。</w:t>
            </w:r>
          </w:p>
        </w:tc>
        <w:tc>
          <w:tcPr>
            <w:tcW w:w="1750" w:type="dxa"/>
            <w:tcBorders>
              <w:top w:val="nil"/>
              <w:left w:val="nil"/>
              <w:bottom w:val="single" w:color="000000" w:sz="8" w:space="0"/>
              <w:right w:val="single" w:color="000000" w:sz="8" w:space="0"/>
            </w:tcBorders>
            <w:vAlign w:val="center"/>
          </w:tcPr>
          <w:p w14:paraId="342653E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00元/次</w:t>
            </w:r>
          </w:p>
        </w:tc>
      </w:tr>
      <w:tr w14:paraId="6551FF4A">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vAlign w:val="center"/>
          </w:tcPr>
          <w:p w14:paraId="56F63E6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p>
        </w:tc>
        <w:tc>
          <w:tcPr>
            <w:tcW w:w="510" w:type="dxa"/>
            <w:vMerge w:val="continue"/>
            <w:tcBorders>
              <w:top w:val="nil"/>
              <w:left w:val="nil"/>
              <w:bottom w:val="single" w:color="000000" w:sz="8" w:space="0"/>
              <w:right w:val="single" w:color="000000" w:sz="8" w:space="0"/>
            </w:tcBorders>
            <w:vAlign w:val="center"/>
          </w:tcPr>
          <w:p w14:paraId="53BB6F30">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28712B13">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5AE31A7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现场围挡：未按《重庆市房屋建筑和市政基础设施工程施工现场文明施工标准（试行）的通知》（渝建质安〔2020〕33号）与《重庆高新区房屋建筑和市政基础设施工程开工条件手册》要求设置的。</w:t>
            </w:r>
          </w:p>
        </w:tc>
        <w:tc>
          <w:tcPr>
            <w:tcW w:w="1750" w:type="dxa"/>
            <w:tcBorders>
              <w:top w:val="nil"/>
              <w:left w:val="nil"/>
              <w:bottom w:val="single" w:color="000000" w:sz="8" w:space="0"/>
              <w:right w:val="single" w:color="000000" w:sz="8" w:space="0"/>
            </w:tcBorders>
            <w:vAlign w:val="center"/>
          </w:tcPr>
          <w:p w14:paraId="025E5AD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00元/次</w:t>
            </w:r>
          </w:p>
        </w:tc>
      </w:tr>
      <w:tr w14:paraId="028D5C36">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vAlign w:val="center"/>
          </w:tcPr>
          <w:p w14:paraId="7736334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p>
        </w:tc>
        <w:tc>
          <w:tcPr>
            <w:tcW w:w="510" w:type="dxa"/>
            <w:vMerge w:val="continue"/>
            <w:tcBorders>
              <w:top w:val="nil"/>
              <w:left w:val="nil"/>
              <w:bottom w:val="single" w:color="000000" w:sz="8" w:space="0"/>
              <w:right w:val="single" w:color="000000" w:sz="8" w:space="0"/>
            </w:tcBorders>
            <w:vAlign w:val="center"/>
          </w:tcPr>
          <w:p w14:paraId="4B646349">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48B41056">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1CCB62C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高空抛物：楼层建渣随意抛撒、脚手架拆除高空抛落钢管扣件等。</w:t>
            </w:r>
          </w:p>
        </w:tc>
        <w:tc>
          <w:tcPr>
            <w:tcW w:w="1750" w:type="dxa"/>
            <w:tcBorders>
              <w:top w:val="nil"/>
              <w:left w:val="nil"/>
              <w:bottom w:val="single" w:color="000000" w:sz="8" w:space="0"/>
              <w:right w:val="single" w:color="000000" w:sz="8" w:space="0"/>
            </w:tcBorders>
            <w:vAlign w:val="center"/>
          </w:tcPr>
          <w:p w14:paraId="7F5A62B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00元/次</w:t>
            </w:r>
          </w:p>
        </w:tc>
      </w:tr>
      <w:tr w14:paraId="21E84B4E">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vAlign w:val="center"/>
          </w:tcPr>
          <w:p w14:paraId="0F4E40E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0</w:t>
            </w:r>
          </w:p>
        </w:tc>
        <w:tc>
          <w:tcPr>
            <w:tcW w:w="510" w:type="dxa"/>
            <w:vMerge w:val="continue"/>
            <w:tcBorders>
              <w:top w:val="nil"/>
              <w:left w:val="nil"/>
              <w:bottom w:val="single" w:color="000000" w:sz="8" w:space="0"/>
              <w:right w:val="single" w:color="000000" w:sz="8" w:space="0"/>
            </w:tcBorders>
            <w:vAlign w:val="center"/>
          </w:tcPr>
          <w:p w14:paraId="442B2288">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316F1C04">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34CC640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施工垃圾：现场建渣、生活垃圾堆放、清运等当天未处理情况。</w:t>
            </w:r>
          </w:p>
        </w:tc>
        <w:tc>
          <w:tcPr>
            <w:tcW w:w="1750" w:type="dxa"/>
            <w:tcBorders>
              <w:top w:val="nil"/>
              <w:left w:val="nil"/>
              <w:bottom w:val="single" w:color="000000" w:sz="8" w:space="0"/>
              <w:right w:val="single" w:color="000000" w:sz="8" w:space="0"/>
            </w:tcBorders>
            <w:vAlign w:val="center"/>
          </w:tcPr>
          <w:p w14:paraId="4EC05D7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00元/次</w:t>
            </w:r>
          </w:p>
        </w:tc>
      </w:tr>
      <w:tr w14:paraId="0E484F40">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vAlign w:val="center"/>
          </w:tcPr>
          <w:p w14:paraId="32BB8FD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1</w:t>
            </w:r>
          </w:p>
        </w:tc>
        <w:tc>
          <w:tcPr>
            <w:tcW w:w="510" w:type="dxa"/>
            <w:vMerge w:val="continue"/>
            <w:tcBorders>
              <w:top w:val="nil"/>
              <w:left w:val="nil"/>
              <w:bottom w:val="single" w:color="000000" w:sz="8" w:space="0"/>
              <w:right w:val="single" w:color="000000" w:sz="8" w:space="0"/>
            </w:tcBorders>
            <w:vAlign w:val="center"/>
          </w:tcPr>
          <w:p w14:paraId="7CC6DAAD">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243B51C8">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6BA8C0F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污水处理：排水沟、沉淀池未按规定设置。</w:t>
            </w:r>
          </w:p>
        </w:tc>
        <w:tc>
          <w:tcPr>
            <w:tcW w:w="1750" w:type="dxa"/>
            <w:tcBorders>
              <w:top w:val="nil"/>
              <w:left w:val="nil"/>
              <w:bottom w:val="single" w:color="000000" w:sz="8" w:space="0"/>
              <w:right w:val="single" w:color="000000" w:sz="8" w:space="0"/>
            </w:tcBorders>
            <w:vAlign w:val="center"/>
          </w:tcPr>
          <w:p w14:paraId="504BFE66">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00元/次</w:t>
            </w:r>
          </w:p>
        </w:tc>
      </w:tr>
      <w:tr w14:paraId="62DB9604">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vAlign w:val="center"/>
          </w:tcPr>
          <w:p w14:paraId="5027A1E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p>
        </w:tc>
        <w:tc>
          <w:tcPr>
            <w:tcW w:w="510" w:type="dxa"/>
            <w:vMerge w:val="continue"/>
            <w:tcBorders>
              <w:top w:val="nil"/>
              <w:left w:val="nil"/>
              <w:bottom w:val="single" w:color="000000" w:sz="8" w:space="0"/>
              <w:right w:val="single" w:color="000000" w:sz="8" w:space="0"/>
            </w:tcBorders>
            <w:vAlign w:val="center"/>
          </w:tcPr>
          <w:p w14:paraId="00460FBB">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58ADFF84">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112032A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清洁设备：冲洗设备未投入使用的。</w:t>
            </w:r>
          </w:p>
        </w:tc>
        <w:tc>
          <w:tcPr>
            <w:tcW w:w="1750" w:type="dxa"/>
            <w:tcBorders>
              <w:top w:val="nil"/>
              <w:left w:val="nil"/>
              <w:bottom w:val="single" w:color="000000" w:sz="8" w:space="0"/>
              <w:right w:val="single" w:color="000000" w:sz="8" w:space="0"/>
            </w:tcBorders>
            <w:vAlign w:val="center"/>
          </w:tcPr>
          <w:p w14:paraId="42AF730E">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00元/次</w:t>
            </w:r>
          </w:p>
        </w:tc>
      </w:tr>
      <w:tr w14:paraId="3D65AA14">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vAlign w:val="center"/>
          </w:tcPr>
          <w:p w14:paraId="798F7BF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p>
        </w:tc>
        <w:tc>
          <w:tcPr>
            <w:tcW w:w="510" w:type="dxa"/>
            <w:vMerge w:val="continue"/>
            <w:tcBorders>
              <w:top w:val="nil"/>
              <w:left w:val="nil"/>
              <w:bottom w:val="single" w:color="000000" w:sz="8" w:space="0"/>
              <w:right w:val="single" w:color="000000" w:sz="8" w:space="0"/>
            </w:tcBorders>
            <w:vAlign w:val="center"/>
          </w:tcPr>
          <w:p w14:paraId="59A57FBE">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6923CF8E">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4AF9E14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转运堆土：现场非临时转运堆土未进行覆盖或绿化。</w:t>
            </w:r>
          </w:p>
        </w:tc>
        <w:tc>
          <w:tcPr>
            <w:tcW w:w="1750" w:type="dxa"/>
            <w:tcBorders>
              <w:top w:val="nil"/>
              <w:left w:val="nil"/>
              <w:bottom w:val="single" w:color="000000" w:sz="8" w:space="0"/>
              <w:right w:val="single" w:color="000000" w:sz="8" w:space="0"/>
            </w:tcBorders>
            <w:vAlign w:val="center"/>
          </w:tcPr>
          <w:p w14:paraId="30DFCA6C">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00元/次</w:t>
            </w:r>
          </w:p>
        </w:tc>
      </w:tr>
      <w:tr w14:paraId="254BA5EE">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2150CFA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510" w:type="dxa"/>
            <w:vMerge w:val="restart"/>
            <w:tcBorders>
              <w:top w:val="nil"/>
              <w:left w:val="nil"/>
              <w:bottom w:val="single" w:color="000000" w:sz="8" w:space="0"/>
              <w:right w:val="single" w:color="000000" w:sz="8" w:space="0"/>
            </w:tcBorders>
            <w:tcMar>
              <w:top w:w="10" w:type="dxa"/>
              <w:left w:w="10" w:type="dxa"/>
              <w:right w:w="10" w:type="dxa"/>
            </w:tcMar>
            <w:vAlign w:val="center"/>
          </w:tcPr>
          <w:p w14:paraId="1E6A379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材料</w:t>
            </w:r>
          </w:p>
          <w:p w14:paraId="00DE770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w:t>
            </w:r>
          </w:p>
        </w:tc>
        <w:tc>
          <w:tcPr>
            <w:tcW w:w="1252" w:type="dxa"/>
            <w:vMerge w:val="restart"/>
            <w:tcBorders>
              <w:top w:val="nil"/>
              <w:left w:val="nil"/>
              <w:bottom w:val="single" w:color="000000" w:sz="8" w:space="0"/>
              <w:right w:val="single" w:color="000000" w:sz="8" w:space="0"/>
            </w:tcBorders>
            <w:vAlign w:val="center"/>
          </w:tcPr>
          <w:p w14:paraId="0141BFF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材料及设施设备</w:t>
            </w:r>
          </w:p>
        </w:tc>
        <w:tc>
          <w:tcPr>
            <w:tcW w:w="5562" w:type="dxa"/>
            <w:tcBorders>
              <w:top w:val="nil"/>
              <w:left w:val="nil"/>
              <w:bottom w:val="single" w:color="000000" w:sz="8" w:space="0"/>
              <w:right w:val="single" w:color="000000" w:sz="8" w:space="0"/>
            </w:tcBorders>
            <w:vAlign w:val="center"/>
          </w:tcPr>
          <w:p w14:paraId="2448884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未按经审定的施工组织设计配备或更换关键施工设备的。</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2C8B207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200～</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00元/台·次</w:t>
            </w:r>
          </w:p>
        </w:tc>
      </w:tr>
      <w:tr w14:paraId="5E9F8EEA">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657A4E3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162C1E21">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0D7C3BAE">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47BE64C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采购和使用不符合消防及安全文明施工相关要求的材料和工程设备；</w:t>
            </w:r>
          </w:p>
          <w:p w14:paraId="77B428E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机具设备未进行验收；</w:t>
            </w:r>
          </w:p>
          <w:p w14:paraId="3160613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机具设备无安全防护装置或安全防护装置失效；</w:t>
            </w:r>
          </w:p>
          <w:p w14:paraId="2B82086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机具设备不满足安全使用条件。</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5CE7D759">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100-300元/次</w:t>
            </w:r>
          </w:p>
        </w:tc>
      </w:tr>
      <w:tr w14:paraId="375B6DA5">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1344098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510" w:type="dxa"/>
            <w:vMerge w:val="restart"/>
            <w:tcBorders>
              <w:top w:val="nil"/>
              <w:left w:val="nil"/>
              <w:bottom w:val="single" w:color="000000" w:sz="8" w:space="0"/>
              <w:right w:val="single" w:color="000000" w:sz="8" w:space="0"/>
            </w:tcBorders>
            <w:tcMar>
              <w:top w:w="10" w:type="dxa"/>
              <w:left w:w="10" w:type="dxa"/>
              <w:right w:w="10" w:type="dxa"/>
            </w:tcMar>
            <w:vAlign w:val="center"/>
          </w:tcPr>
          <w:p w14:paraId="5E66EFD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w:t>
            </w:r>
          </w:p>
          <w:p w14:paraId="4DE92B9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生产</w:t>
            </w:r>
          </w:p>
          <w:p w14:paraId="67C88286">
            <w:pPr>
              <w:spacing w:line="360" w:lineRule="auto"/>
              <w:ind w:firstLine="480" w:firstLineChars="200"/>
              <w:rPr>
                <w:rFonts w:hint="eastAsia" w:ascii="宋体" w:hAnsi="宋体" w:eastAsia="宋体" w:cs="宋体"/>
                <w:color w:val="auto"/>
                <w:sz w:val="24"/>
                <w:szCs w:val="24"/>
                <w:highlight w:val="none"/>
              </w:rPr>
            </w:pPr>
          </w:p>
          <w:p w14:paraId="2F00265C">
            <w:pPr>
              <w:spacing w:line="360" w:lineRule="auto"/>
              <w:ind w:firstLine="480" w:firstLineChars="200"/>
              <w:rPr>
                <w:rFonts w:hint="eastAsia" w:ascii="宋体" w:hAnsi="宋体" w:eastAsia="宋体" w:cs="宋体"/>
                <w:color w:val="auto"/>
                <w:sz w:val="24"/>
                <w:szCs w:val="24"/>
                <w:highlight w:val="none"/>
              </w:rPr>
            </w:pPr>
          </w:p>
          <w:p w14:paraId="163D02DE">
            <w:pPr>
              <w:spacing w:line="360" w:lineRule="auto"/>
              <w:ind w:firstLine="480" w:firstLineChars="200"/>
              <w:rPr>
                <w:rFonts w:hint="eastAsia" w:ascii="宋体" w:hAnsi="宋体" w:eastAsia="宋体" w:cs="宋体"/>
                <w:color w:val="auto"/>
                <w:sz w:val="24"/>
                <w:szCs w:val="24"/>
                <w:highlight w:val="none"/>
              </w:rPr>
            </w:pPr>
          </w:p>
        </w:tc>
        <w:tc>
          <w:tcPr>
            <w:tcW w:w="1252" w:type="dxa"/>
            <w:vMerge w:val="restart"/>
            <w:tcBorders>
              <w:top w:val="nil"/>
              <w:left w:val="nil"/>
              <w:bottom w:val="single" w:color="000000" w:sz="8" w:space="0"/>
              <w:right w:val="single" w:color="000000" w:sz="8" w:space="0"/>
            </w:tcBorders>
            <w:vAlign w:val="center"/>
          </w:tcPr>
          <w:p w14:paraId="694AAA49">
            <w:pPr>
              <w:pStyle w:val="16"/>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安全管理</w:t>
            </w:r>
          </w:p>
        </w:tc>
        <w:tc>
          <w:tcPr>
            <w:tcW w:w="5562" w:type="dxa"/>
            <w:tcBorders>
              <w:top w:val="nil"/>
              <w:left w:val="nil"/>
              <w:bottom w:val="single" w:color="000000" w:sz="8" w:space="0"/>
              <w:right w:val="single" w:color="000000" w:sz="8" w:space="0"/>
            </w:tcBorders>
            <w:vAlign w:val="center"/>
          </w:tcPr>
          <w:p w14:paraId="49AA76A1">
            <w:pPr>
              <w:pStyle w:val="16"/>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未按施工组织设计（方案）施工。</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7E44CCE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1000-3000元/次</w:t>
            </w:r>
          </w:p>
        </w:tc>
      </w:tr>
      <w:tr w14:paraId="06B0B607">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20A1590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3A6FA8FA">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2DA19F12">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2BBF6F0A">
            <w:pPr>
              <w:pStyle w:val="16"/>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未进行安全技术交底、安全教育，或不符合要求；</w:t>
            </w:r>
          </w:p>
          <w:p w14:paraId="51F52363">
            <w:pPr>
              <w:pStyle w:val="16"/>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危大</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超危大</w:t>
            </w:r>
            <w:r>
              <w:rPr>
                <w:rFonts w:hint="eastAsia" w:ascii="宋体" w:hAnsi="宋体" w:eastAsia="宋体" w:cs="宋体"/>
                <w:color w:val="auto"/>
                <w:sz w:val="24"/>
                <w:szCs w:val="24"/>
                <w:highlight w:val="none"/>
              </w:rPr>
              <w:t>方案未进行报批审核</w:t>
            </w:r>
            <w:r>
              <w:rPr>
                <w:rFonts w:hint="eastAsia" w:ascii="宋体" w:hAnsi="宋体" w:eastAsia="宋体" w:cs="宋体"/>
                <w:color w:val="auto"/>
                <w:sz w:val="24"/>
                <w:szCs w:val="24"/>
                <w:highlight w:val="none"/>
                <w:lang w:eastAsia="zh-CN"/>
              </w:rPr>
              <w:t>；</w:t>
            </w:r>
          </w:p>
          <w:p w14:paraId="701912C1">
            <w:pPr>
              <w:pStyle w:val="16"/>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安全培训教育、交底记录不完善或代签、无影像资料、弄虚作假</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06DFEBF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100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-300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元/次</w:t>
            </w:r>
          </w:p>
        </w:tc>
      </w:tr>
      <w:tr w14:paraId="7921EC45">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3888FFB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7A460F66">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2987CEA0">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21D105F5">
            <w:pPr>
              <w:pStyle w:val="16"/>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未定期进行安全检查（日、周、月检）；</w:t>
            </w:r>
          </w:p>
          <w:p w14:paraId="7A5B538E">
            <w:pPr>
              <w:pStyle w:val="16"/>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无脚手架、机械设备、防护用品等相应的安全验收资料。</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310B362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100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-300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元/次</w:t>
            </w:r>
          </w:p>
        </w:tc>
      </w:tr>
      <w:tr w14:paraId="758F3932">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77FAB13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7C2A9D80">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55E6CEF8">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29964D94">
            <w:pPr>
              <w:pStyle w:val="16"/>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无重大危险源公示牌和安全标识、标牌等；；</w:t>
            </w:r>
          </w:p>
          <w:p w14:paraId="5C84126A">
            <w:pPr>
              <w:pStyle w:val="16"/>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无重大危险源管控台账、无危大工程辨识、关键节点验收记录；</w:t>
            </w:r>
          </w:p>
          <w:p w14:paraId="62FD1DB6">
            <w:pPr>
              <w:pStyle w:val="16"/>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无安全文明措施费使用台账及票据。</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2B4A8A6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500-1000元/次</w:t>
            </w:r>
          </w:p>
        </w:tc>
      </w:tr>
      <w:tr w14:paraId="16DF3159">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0CC7BC3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6DF7EC17">
            <w:pPr>
              <w:rPr>
                <w:rFonts w:hint="eastAsia" w:ascii="宋体" w:hAnsi="宋体" w:eastAsia="宋体" w:cs="宋体"/>
                <w:color w:val="auto"/>
                <w:sz w:val="24"/>
                <w:szCs w:val="24"/>
                <w:highlight w:val="none"/>
              </w:rPr>
            </w:pPr>
          </w:p>
        </w:tc>
        <w:tc>
          <w:tcPr>
            <w:tcW w:w="1252" w:type="dxa"/>
            <w:vMerge w:val="restart"/>
            <w:tcBorders>
              <w:top w:val="nil"/>
              <w:left w:val="nil"/>
              <w:bottom w:val="single" w:color="000000" w:sz="8" w:space="0"/>
              <w:right w:val="single" w:color="000000" w:sz="8" w:space="0"/>
            </w:tcBorders>
            <w:vAlign w:val="center"/>
          </w:tcPr>
          <w:p w14:paraId="47876EF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基坑、沟槽或边坡</w:t>
            </w:r>
          </w:p>
        </w:tc>
        <w:tc>
          <w:tcPr>
            <w:tcW w:w="5562" w:type="dxa"/>
            <w:tcBorders>
              <w:top w:val="nil"/>
              <w:left w:val="nil"/>
              <w:bottom w:val="single" w:color="000000" w:sz="8" w:space="0"/>
              <w:right w:val="single" w:color="000000" w:sz="8" w:space="0"/>
            </w:tcBorders>
            <w:vAlign w:val="center"/>
          </w:tcPr>
          <w:p w14:paraId="36E0560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基坑或沟槽临边防护措施、边坡开挖安全设置等不符合规范要求。</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1B8519AB">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00元/次</w:t>
            </w:r>
          </w:p>
        </w:tc>
      </w:tr>
      <w:tr w14:paraId="77DCFFC5">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7DAC3DF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251CBDCA">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2FE8E260">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15781E2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边坡未及时按方案支护，边坡放坡比例及支护方式不满足要求。</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03011D30">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200-</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00元/次</w:t>
            </w:r>
          </w:p>
        </w:tc>
      </w:tr>
      <w:tr w14:paraId="7BD14591">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vAlign w:val="center"/>
          </w:tcPr>
          <w:p w14:paraId="6A98BA8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22</w:t>
            </w:r>
          </w:p>
        </w:tc>
        <w:tc>
          <w:tcPr>
            <w:tcW w:w="510" w:type="dxa"/>
            <w:vMerge w:val="continue"/>
            <w:tcBorders>
              <w:top w:val="nil"/>
              <w:left w:val="nil"/>
              <w:bottom w:val="single" w:color="000000" w:sz="8" w:space="0"/>
              <w:right w:val="single" w:color="000000" w:sz="8" w:space="0"/>
            </w:tcBorders>
            <w:vAlign w:val="center"/>
          </w:tcPr>
          <w:p w14:paraId="5200C67C">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7B8CDBC3">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68C87E1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基坑边堆载不符合要求，边坡未设置截水沟。</w:t>
            </w:r>
          </w:p>
        </w:tc>
        <w:tc>
          <w:tcPr>
            <w:tcW w:w="1750" w:type="dxa"/>
            <w:tcBorders>
              <w:top w:val="nil"/>
              <w:left w:val="nil"/>
              <w:bottom w:val="single" w:color="000000" w:sz="8" w:space="0"/>
              <w:right w:val="single" w:color="000000" w:sz="8" w:space="0"/>
            </w:tcBorders>
            <w:vAlign w:val="center"/>
          </w:tcPr>
          <w:p w14:paraId="768E1529">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200-</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00元/次</w:t>
            </w:r>
          </w:p>
        </w:tc>
      </w:tr>
      <w:tr w14:paraId="5BE4AAC0">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3E2F998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3</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27EE8EFE">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5E0E8FF4">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4585E38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未按方案进行沉降观测和基坑支护变形监测。</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4C4D090C">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eastAsia="zh-CN"/>
              </w:rPr>
              <w:t>-1000元/次</w:t>
            </w:r>
          </w:p>
        </w:tc>
      </w:tr>
      <w:tr w14:paraId="15FCF6AB">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575C11C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4</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5D550FB8">
            <w:pPr>
              <w:rPr>
                <w:rFonts w:hint="eastAsia" w:ascii="宋体" w:hAnsi="宋体" w:eastAsia="宋体" w:cs="宋体"/>
                <w:color w:val="auto"/>
                <w:sz w:val="24"/>
                <w:szCs w:val="24"/>
                <w:highlight w:val="none"/>
              </w:rPr>
            </w:pPr>
          </w:p>
        </w:tc>
        <w:tc>
          <w:tcPr>
            <w:tcW w:w="1252" w:type="dxa"/>
            <w:vMerge w:val="restart"/>
            <w:tcBorders>
              <w:top w:val="nil"/>
              <w:left w:val="nil"/>
              <w:bottom w:val="single" w:color="000000" w:sz="8" w:space="0"/>
              <w:right w:val="single" w:color="000000" w:sz="8" w:space="0"/>
            </w:tcBorders>
            <w:vAlign w:val="center"/>
          </w:tcPr>
          <w:p w14:paraId="7933A25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起重机械设备</w:t>
            </w:r>
          </w:p>
        </w:tc>
        <w:tc>
          <w:tcPr>
            <w:tcW w:w="5562" w:type="dxa"/>
            <w:tcBorders>
              <w:top w:val="nil"/>
              <w:left w:val="nil"/>
              <w:bottom w:val="single" w:color="000000" w:sz="8" w:space="0"/>
              <w:right w:val="single" w:color="000000" w:sz="8" w:space="0"/>
            </w:tcBorders>
            <w:vAlign w:val="center"/>
          </w:tcPr>
          <w:p w14:paraId="33D04A4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起重机械设备未按规定备案。</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6AE03E6F">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200-500元/次</w:t>
            </w:r>
          </w:p>
        </w:tc>
      </w:tr>
      <w:tr w14:paraId="501EAF18">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2EE311D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5</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2143A741">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638D5ADC">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0967658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特种作业人员未持证上岗，设备日常保养、检查无记录；</w:t>
            </w:r>
          </w:p>
          <w:p w14:paraId="2DC84C7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指挥人员配备不合要求；</w:t>
            </w:r>
          </w:p>
          <w:p w14:paraId="231F297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钢丝绳锈蚀、断股、起毛等未及时更换；</w:t>
            </w:r>
          </w:p>
          <w:p w14:paraId="1AA547C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小勾无保险扣；</w:t>
            </w:r>
          </w:p>
          <w:p w14:paraId="0C1D812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塔吊无防坠措施；</w:t>
            </w:r>
          </w:p>
          <w:p w14:paraId="38647D3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塔吊基础无排水措施；</w:t>
            </w:r>
          </w:p>
          <w:p w14:paraId="15A68C1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塔吊无防攀爬措施；</w:t>
            </w:r>
          </w:p>
          <w:p w14:paraId="2B57100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塔吊标准节与其他构建物相接触、摩擦；</w:t>
            </w:r>
          </w:p>
          <w:p w14:paraId="738F3D1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起吊吊点设置不合理；</w:t>
            </w:r>
          </w:p>
          <w:p w14:paraId="2772DF9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违反“十不吊”要求。</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383B4A1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100-500元/次</w:t>
            </w:r>
          </w:p>
        </w:tc>
      </w:tr>
      <w:tr w14:paraId="0BF67ED2">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35C17C9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6</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3BDA0D87">
            <w:pPr>
              <w:rPr>
                <w:rFonts w:hint="eastAsia" w:ascii="宋体" w:hAnsi="宋体" w:eastAsia="宋体" w:cs="宋体"/>
                <w:color w:val="auto"/>
                <w:sz w:val="24"/>
                <w:szCs w:val="24"/>
                <w:highlight w:val="none"/>
              </w:rPr>
            </w:pPr>
          </w:p>
        </w:tc>
        <w:tc>
          <w:tcPr>
            <w:tcW w:w="1252" w:type="dxa"/>
            <w:vMerge w:val="restart"/>
            <w:tcBorders>
              <w:top w:val="nil"/>
              <w:left w:val="nil"/>
              <w:bottom w:val="single" w:color="000000" w:sz="8" w:space="0"/>
              <w:right w:val="single" w:color="000000" w:sz="8" w:space="0"/>
            </w:tcBorders>
            <w:vAlign w:val="center"/>
          </w:tcPr>
          <w:p w14:paraId="7BFDA29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施工升降机、物料提升机</w:t>
            </w:r>
          </w:p>
        </w:tc>
        <w:tc>
          <w:tcPr>
            <w:tcW w:w="5562" w:type="dxa"/>
            <w:tcBorders>
              <w:top w:val="nil"/>
              <w:left w:val="nil"/>
              <w:bottom w:val="single" w:color="000000" w:sz="8" w:space="0"/>
              <w:right w:val="single" w:color="000000" w:sz="8" w:space="0"/>
            </w:tcBorders>
            <w:vAlign w:val="center"/>
          </w:tcPr>
          <w:p w14:paraId="7EED7D7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安拆编制方案，审批、审核手续不齐全；</w:t>
            </w:r>
          </w:p>
          <w:p w14:paraId="154AE34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设备日常保养、检查无记录或记录不完善；</w:t>
            </w:r>
          </w:p>
          <w:p w14:paraId="460159EE">
            <w:pPr>
              <w:pStyle w:val="16"/>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特种作业人员未持证上岗或特种作业证失效。</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023944B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200-500元/次</w:t>
            </w:r>
          </w:p>
        </w:tc>
      </w:tr>
      <w:tr w14:paraId="79EFF190">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2F5B275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7</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2318212A">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1A0AB989">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73C0904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安装后检测投入使用，自检、验收手续不齐全；</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7FCD8F2F">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200-500元/次</w:t>
            </w:r>
          </w:p>
        </w:tc>
      </w:tr>
      <w:tr w14:paraId="0EB7B7FD">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75A400B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8</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5032C96D">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6E8DAB9E">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311F6DB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安全装置不灵敏；</w:t>
            </w:r>
          </w:p>
          <w:p w14:paraId="1EF15BA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无限位装置或限位装置失效；</w:t>
            </w:r>
          </w:p>
          <w:p w14:paraId="59B8864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升降机无防坠器或防坠器失效。</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2B637F96">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200-500元/次</w:t>
            </w:r>
          </w:p>
        </w:tc>
      </w:tr>
      <w:tr w14:paraId="49B45C96">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558AE93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9</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2564BE84">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0285FF69">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03488B3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缆风绳、地锚、附墙装置设置不符合要求；</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1C76B638">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200-500元/次</w:t>
            </w:r>
          </w:p>
        </w:tc>
      </w:tr>
      <w:tr w14:paraId="5E35363D">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7A1B9DA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lang w:val="en-US" w:eastAsia="zh-CN"/>
              </w:rPr>
              <w:t>0</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1B5B9032">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696284FF">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1F85117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钢丝绳质量及其使用不符合要求；</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4B515039">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200-500元/次</w:t>
            </w:r>
          </w:p>
        </w:tc>
      </w:tr>
      <w:tr w14:paraId="7A380B48">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6A87CBA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1</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3285C48D">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46289390">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77A1648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电梯吊笼出入口、</w:t>
            </w:r>
            <w:r>
              <w:rPr>
                <w:rFonts w:hint="eastAsia" w:ascii="宋体" w:hAnsi="宋体" w:eastAsia="宋体" w:cs="宋体"/>
                <w:color w:val="auto"/>
                <w:sz w:val="24"/>
                <w:szCs w:val="24"/>
                <w:highlight w:val="none"/>
                <w:lang w:eastAsia="zh-CN"/>
              </w:rPr>
              <w:t>吊篮</w:t>
            </w:r>
            <w:r>
              <w:rPr>
                <w:rFonts w:hint="eastAsia" w:ascii="宋体" w:hAnsi="宋体" w:eastAsia="宋体" w:cs="宋体"/>
                <w:color w:val="auto"/>
                <w:sz w:val="24"/>
                <w:szCs w:val="24"/>
                <w:highlight w:val="none"/>
              </w:rPr>
              <w:t>进料口未搭设防护棚；</w:t>
            </w:r>
          </w:p>
          <w:p w14:paraId="6FA73BB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提升重量超出额定荷载，装载人员超规定人数。</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1B029971">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200-500元/次</w:t>
            </w:r>
          </w:p>
        </w:tc>
      </w:tr>
      <w:tr w14:paraId="160197BE">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49E636C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2</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3328B449">
            <w:pPr>
              <w:rPr>
                <w:rFonts w:hint="eastAsia" w:ascii="宋体" w:hAnsi="宋体" w:eastAsia="宋体" w:cs="宋体"/>
                <w:color w:val="auto"/>
                <w:sz w:val="24"/>
                <w:szCs w:val="24"/>
                <w:highlight w:val="none"/>
              </w:rPr>
            </w:pPr>
          </w:p>
        </w:tc>
        <w:tc>
          <w:tcPr>
            <w:tcW w:w="1252" w:type="dxa"/>
            <w:vMerge w:val="restart"/>
            <w:tcBorders>
              <w:top w:val="nil"/>
              <w:left w:val="nil"/>
              <w:bottom w:val="single" w:color="000000" w:sz="8" w:space="0"/>
              <w:right w:val="single" w:color="000000" w:sz="8" w:space="0"/>
            </w:tcBorders>
            <w:vAlign w:val="center"/>
          </w:tcPr>
          <w:p w14:paraId="21CA784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脚手架</w:t>
            </w:r>
          </w:p>
        </w:tc>
        <w:tc>
          <w:tcPr>
            <w:tcW w:w="5562" w:type="dxa"/>
            <w:tcBorders>
              <w:top w:val="nil"/>
              <w:left w:val="nil"/>
              <w:bottom w:val="single" w:color="000000" w:sz="8" w:space="0"/>
              <w:right w:val="single" w:color="000000" w:sz="8" w:space="0"/>
            </w:tcBorders>
            <w:vAlign w:val="center"/>
          </w:tcPr>
          <w:p w14:paraId="392CAFE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架体稳定，附着式升降脚手架附着支撑、升降装置等不符合规范要求；</w:t>
            </w:r>
          </w:p>
          <w:p w14:paraId="12AA3D8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架体连墙件设置不符规范要求，违规拆除连墙件。</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52CE45BD">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00元/次</w:t>
            </w:r>
          </w:p>
        </w:tc>
      </w:tr>
      <w:tr w14:paraId="09CBE947">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5AACE6C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3</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49B20F37">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71F320D1">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09751B7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施工层脚手板铺设、施工层防护网、脚手架外侧设置密目式安全网不符合要求；</w:t>
            </w:r>
          </w:p>
          <w:p w14:paraId="54DE4DCB">
            <w:pPr>
              <w:pStyle w:val="16"/>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脚手架与建筑物结构间距不符合要求或间距过大无防护措施。</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746E012A">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000-</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000元/次</w:t>
            </w:r>
          </w:p>
        </w:tc>
      </w:tr>
      <w:tr w14:paraId="2E4BE7E1">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6ADC222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4</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5C526FDA">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7F48DA63">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6A3FDE5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立杆和水平杆间距、剪刀撑、横向斜撑设置不符合要求；</w:t>
            </w:r>
          </w:p>
          <w:p w14:paraId="4FA4FC3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脚手架防护高度不符合要求。</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4BA4E5CB">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0/处</w:t>
            </w:r>
          </w:p>
        </w:tc>
      </w:tr>
      <w:tr w14:paraId="1A049290">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vAlign w:val="center"/>
          </w:tcPr>
          <w:p w14:paraId="37148FC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35</w:t>
            </w:r>
          </w:p>
        </w:tc>
        <w:tc>
          <w:tcPr>
            <w:tcW w:w="510" w:type="dxa"/>
            <w:vMerge w:val="continue"/>
            <w:tcBorders>
              <w:top w:val="nil"/>
              <w:left w:val="nil"/>
              <w:bottom w:val="single" w:color="000000" w:sz="8" w:space="0"/>
              <w:right w:val="single" w:color="000000" w:sz="8" w:space="0"/>
            </w:tcBorders>
            <w:vAlign w:val="center"/>
          </w:tcPr>
          <w:p w14:paraId="1AD86AAE">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7F5D6457">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22A8B24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脚手架上堆码材料、施工工具等；</w:t>
            </w:r>
          </w:p>
          <w:p w14:paraId="4EFC4E9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脚手架搭设不符合规范要求；</w:t>
            </w:r>
          </w:p>
          <w:p w14:paraId="44BEC77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悬挑架海底层未硬封闭；</w:t>
            </w:r>
          </w:p>
          <w:p w14:paraId="0A24C49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悬挑工字钢钢丝绳松动；</w:t>
            </w:r>
          </w:p>
          <w:p w14:paraId="0C8BCC5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悬挑层超3层未设置卸荷钢丝绳；</w:t>
            </w:r>
          </w:p>
          <w:p w14:paraId="7B84091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工字钢悬挑长度不符合1：1.25；</w:t>
            </w:r>
          </w:p>
          <w:p w14:paraId="66D1985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工字钢未有效锚固；</w:t>
            </w:r>
          </w:p>
          <w:p w14:paraId="67FBB5A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工字钢锚固点未设置在梁上。</w:t>
            </w:r>
          </w:p>
        </w:tc>
        <w:tc>
          <w:tcPr>
            <w:tcW w:w="1750" w:type="dxa"/>
            <w:tcBorders>
              <w:top w:val="nil"/>
              <w:left w:val="nil"/>
              <w:bottom w:val="single" w:color="000000" w:sz="8" w:space="0"/>
              <w:right w:val="single" w:color="000000" w:sz="8" w:space="0"/>
            </w:tcBorders>
            <w:vAlign w:val="center"/>
          </w:tcPr>
          <w:p w14:paraId="7CE93D7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00-200元/次</w:t>
            </w:r>
          </w:p>
        </w:tc>
      </w:tr>
      <w:tr w14:paraId="58F7ADBC">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2BFE0AF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6</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2C9140FB">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6FEA5552">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50D8B61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立杆基础、扫地杆设置不符合要求。</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1BA61E70">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300</w:t>
            </w:r>
            <w:r>
              <w:rPr>
                <w:rFonts w:hint="eastAsia" w:ascii="宋体" w:hAnsi="宋体" w:eastAsia="宋体" w:cs="宋体"/>
                <w:color w:val="auto"/>
                <w:sz w:val="24"/>
                <w:szCs w:val="24"/>
                <w:highlight w:val="none"/>
                <w:lang w:eastAsia="zh-CN"/>
              </w:rPr>
              <w:t>元/次</w:t>
            </w:r>
          </w:p>
        </w:tc>
      </w:tr>
      <w:tr w14:paraId="49629D30">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488C5BE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7</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117BFC15">
            <w:pPr>
              <w:rPr>
                <w:rFonts w:hint="eastAsia" w:ascii="宋体" w:hAnsi="宋体" w:eastAsia="宋体" w:cs="宋体"/>
                <w:color w:val="auto"/>
                <w:sz w:val="24"/>
                <w:szCs w:val="24"/>
                <w:highlight w:val="none"/>
              </w:rPr>
            </w:pPr>
          </w:p>
        </w:tc>
        <w:tc>
          <w:tcPr>
            <w:tcW w:w="1252" w:type="dxa"/>
            <w:vMerge w:val="restart"/>
            <w:tcBorders>
              <w:top w:val="nil"/>
              <w:left w:val="nil"/>
              <w:bottom w:val="single" w:color="000000" w:sz="8" w:space="0"/>
              <w:right w:val="single" w:color="000000" w:sz="8" w:space="0"/>
            </w:tcBorders>
            <w:vAlign w:val="center"/>
          </w:tcPr>
          <w:p w14:paraId="24AA507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施工用电</w:t>
            </w:r>
          </w:p>
        </w:tc>
        <w:tc>
          <w:tcPr>
            <w:tcW w:w="5562" w:type="dxa"/>
            <w:tcBorders>
              <w:top w:val="nil"/>
              <w:left w:val="nil"/>
              <w:bottom w:val="single" w:color="000000" w:sz="8" w:space="0"/>
              <w:right w:val="single" w:color="000000" w:sz="8" w:space="0"/>
            </w:tcBorders>
            <w:vAlign w:val="center"/>
          </w:tcPr>
          <w:p w14:paraId="2C324F2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配电箱、配电线路不符合规范，线路过道无保护等。</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2A6B3D1F">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300</w:t>
            </w:r>
            <w:r>
              <w:rPr>
                <w:rFonts w:hint="eastAsia" w:ascii="宋体" w:hAnsi="宋体" w:eastAsia="宋体" w:cs="宋体"/>
                <w:color w:val="auto"/>
                <w:sz w:val="24"/>
                <w:szCs w:val="24"/>
                <w:highlight w:val="none"/>
                <w:lang w:eastAsia="zh-CN"/>
              </w:rPr>
              <w:t>元/次</w:t>
            </w:r>
          </w:p>
        </w:tc>
      </w:tr>
      <w:tr w14:paraId="12BA90E3">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7B146DE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8</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3B0C3A6A">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74ED313B">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70FE852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施工用电不符合三相五线、三级配电、两级保护等；</w:t>
            </w:r>
          </w:p>
          <w:p w14:paraId="2FB30F7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电工无特种作业人员操作证，电工未巡查填写巡查记录；</w:t>
            </w:r>
          </w:p>
          <w:p w14:paraId="57BA635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非专职电工人员进行临时接电作业。</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7F3F74D0">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300</w:t>
            </w:r>
            <w:r>
              <w:rPr>
                <w:rFonts w:hint="eastAsia" w:ascii="宋体" w:hAnsi="宋体" w:eastAsia="宋体" w:cs="宋体"/>
                <w:color w:val="auto"/>
                <w:sz w:val="24"/>
                <w:szCs w:val="24"/>
                <w:highlight w:val="none"/>
                <w:lang w:eastAsia="zh-CN"/>
              </w:rPr>
              <w:t>元/次</w:t>
            </w:r>
          </w:p>
        </w:tc>
      </w:tr>
      <w:tr w14:paraId="3E163873">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2CEF20A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9</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1625DF93">
            <w:pPr>
              <w:rPr>
                <w:rFonts w:hint="eastAsia" w:ascii="宋体" w:hAnsi="宋体" w:eastAsia="宋体" w:cs="宋体"/>
                <w:color w:val="auto"/>
                <w:sz w:val="24"/>
                <w:szCs w:val="24"/>
                <w:highlight w:val="none"/>
              </w:rPr>
            </w:pPr>
          </w:p>
        </w:tc>
        <w:tc>
          <w:tcPr>
            <w:tcW w:w="1252" w:type="dxa"/>
            <w:vMerge w:val="restart"/>
            <w:tcBorders>
              <w:top w:val="nil"/>
              <w:left w:val="nil"/>
              <w:bottom w:val="single" w:color="000000" w:sz="8" w:space="0"/>
              <w:right w:val="single" w:color="000000" w:sz="8" w:space="0"/>
            </w:tcBorders>
            <w:vAlign w:val="center"/>
          </w:tcPr>
          <w:p w14:paraId="41F4413F">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模板工程</w:t>
            </w:r>
          </w:p>
        </w:tc>
        <w:tc>
          <w:tcPr>
            <w:tcW w:w="5562" w:type="dxa"/>
            <w:tcBorders>
              <w:top w:val="nil"/>
              <w:left w:val="nil"/>
              <w:bottom w:val="single" w:color="000000" w:sz="8" w:space="0"/>
              <w:right w:val="single" w:color="000000" w:sz="8" w:space="0"/>
            </w:tcBorders>
            <w:vAlign w:val="center"/>
          </w:tcPr>
          <w:p w14:paraId="64E5675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支撑系统不符合方案（设计)要求，支撑模板的立柱材料不符合方案（设计)及规范要求。</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005CB228">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300</w:t>
            </w:r>
            <w:r>
              <w:rPr>
                <w:rFonts w:hint="eastAsia" w:ascii="宋体" w:hAnsi="宋体" w:eastAsia="宋体" w:cs="宋体"/>
                <w:color w:val="auto"/>
                <w:sz w:val="24"/>
                <w:szCs w:val="24"/>
                <w:highlight w:val="none"/>
                <w:lang w:eastAsia="zh-CN"/>
              </w:rPr>
              <w:t>元/次</w:t>
            </w:r>
          </w:p>
        </w:tc>
      </w:tr>
      <w:tr w14:paraId="28AAC60A">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vAlign w:val="center"/>
          </w:tcPr>
          <w:p w14:paraId="5D9E7874">
            <w:pPr>
              <w:spacing w:line="360" w:lineRule="auto"/>
              <w:ind w:firstLine="480" w:firstLineChars="200"/>
              <w:jc w:val="center"/>
              <w:rPr>
                <w:rFonts w:hint="eastAsia" w:ascii="宋体" w:hAnsi="宋体" w:eastAsia="宋体" w:cs="宋体"/>
                <w:color w:val="auto"/>
                <w:sz w:val="24"/>
                <w:szCs w:val="24"/>
                <w:highlight w:val="none"/>
              </w:rPr>
            </w:pPr>
          </w:p>
        </w:tc>
        <w:tc>
          <w:tcPr>
            <w:tcW w:w="510" w:type="dxa"/>
            <w:vMerge w:val="continue"/>
            <w:tcBorders>
              <w:top w:val="nil"/>
              <w:left w:val="nil"/>
              <w:bottom w:val="single" w:color="000000" w:sz="8" w:space="0"/>
              <w:right w:val="single" w:color="000000" w:sz="8" w:space="0"/>
            </w:tcBorders>
            <w:vAlign w:val="center"/>
          </w:tcPr>
          <w:p w14:paraId="62397207">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41A1A377">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5786418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支模架与外架相连接；</w:t>
            </w:r>
          </w:p>
          <w:p w14:paraId="27DC252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支模架违规使用未验收。</w:t>
            </w:r>
          </w:p>
        </w:tc>
        <w:tc>
          <w:tcPr>
            <w:tcW w:w="1750" w:type="dxa"/>
            <w:tcBorders>
              <w:top w:val="nil"/>
              <w:left w:val="nil"/>
              <w:bottom w:val="single" w:color="000000" w:sz="8" w:space="0"/>
              <w:right w:val="single" w:color="000000" w:sz="8" w:space="0"/>
            </w:tcBorders>
            <w:vAlign w:val="center"/>
          </w:tcPr>
          <w:p w14:paraId="087DE3F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100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300</w:t>
            </w:r>
            <w:r>
              <w:rPr>
                <w:rFonts w:hint="eastAsia" w:ascii="宋体" w:hAnsi="宋体" w:eastAsia="宋体" w:cs="宋体"/>
                <w:color w:val="auto"/>
                <w:sz w:val="24"/>
                <w:szCs w:val="24"/>
                <w:highlight w:val="none"/>
                <w:lang w:eastAsia="zh-CN"/>
              </w:rPr>
              <w:t>元/次</w:t>
            </w:r>
          </w:p>
        </w:tc>
      </w:tr>
      <w:tr w14:paraId="407444BE">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73236E9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lang w:val="en-US" w:eastAsia="zh-CN"/>
              </w:rPr>
              <w:t>0</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3200BED5">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3C4016A0">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4DFE70F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立柱（垫板、基础等）不稳定。</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5C4B7E63">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处</w:t>
            </w:r>
          </w:p>
        </w:tc>
      </w:tr>
      <w:tr w14:paraId="7ED73D69">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5880B20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lang w:val="en-US" w:eastAsia="zh-CN"/>
              </w:rPr>
              <w:t>1</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5B695B37">
            <w:pPr>
              <w:rPr>
                <w:rFonts w:hint="eastAsia" w:ascii="宋体" w:hAnsi="宋体" w:eastAsia="宋体" w:cs="宋体"/>
                <w:color w:val="auto"/>
                <w:sz w:val="24"/>
                <w:szCs w:val="24"/>
                <w:highlight w:val="none"/>
              </w:rPr>
            </w:pPr>
          </w:p>
        </w:tc>
        <w:tc>
          <w:tcPr>
            <w:tcW w:w="1252" w:type="dxa"/>
            <w:vMerge w:val="restart"/>
            <w:tcBorders>
              <w:top w:val="nil"/>
              <w:left w:val="nil"/>
              <w:bottom w:val="single" w:color="000000" w:sz="8" w:space="0"/>
              <w:right w:val="single" w:color="000000" w:sz="8" w:space="0"/>
            </w:tcBorders>
            <w:vAlign w:val="center"/>
          </w:tcPr>
          <w:p w14:paraId="4261AB49">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“三宝”、 “四口”及临边</w:t>
            </w:r>
          </w:p>
        </w:tc>
        <w:tc>
          <w:tcPr>
            <w:tcW w:w="5562" w:type="dxa"/>
            <w:tcBorders>
              <w:top w:val="nil"/>
              <w:left w:val="nil"/>
              <w:bottom w:val="single" w:color="000000" w:sz="8" w:space="0"/>
              <w:right w:val="single" w:color="000000" w:sz="8" w:space="0"/>
            </w:tcBorders>
            <w:vAlign w:val="center"/>
          </w:tcPr>
          <w:p w14:paraId="0B2D367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安全网规格材质、水平网立网支设不符合要求；未正确佩戴安全帽、悬挂安全带。</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1A090A2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最低处罚</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元/人·次，每增加1人增罚</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rPr>
              <w:t>元</w:t>
            </w:r>
          </w:p>
        </w:tc>
      </w:tr>
      <w:tr w14:paraId="7EDE55EA">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2BEC8DE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2</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41B46F22">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70EB8091">
            <w:pPr>
              <w:jc w:val="cente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2121F9D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“四口”防护不到位。</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11B7BDE0">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00元/处</w:t>
            </w:r>
          </w:p>
        </w:tc>
      </w:tr>
      <w:tr w14:paraId="26020224">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46FE174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3</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479DF15C">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285A6281">
            <w:pPr>
              <w:jc w:val="cente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0FB8F37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“临边”防护不到位。</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3C61D834">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00-</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00元/处</w:t>
            </w:r>
          </w:p>
        </w:tc>
      </w:tr>
      <w:tr w14:paraId="105BA632">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6DEB80B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4</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35276CEF">
            <w:pPr>
              <w:rPr>
                <w:rFonts w:hint="eastAsia" w:ascii="宋体" w:hAnsi="宋体" w:eastAsia="宋体" w:cs="宋体"/>
                <w:color w:val="auto"/>
                <w:sz w:val="24"/>
                <w:szCs w:val="24"/>
                <w:highlight w:val="none"/>
              </w:rPr>
            </w:pPr>
          </w:p>
        </w:tc>
        <w:tc>
          <w:tcPr>
            <w:tcW w:w="1252" w:type="dxa"/>
            <w:vMerge w:val="restart"/>
            <w:tcBorders>
              <w:top w:val="nil"/>
              <w:left w:val="nil"/>
              <w:bottom w:val="single" w:color="000000" w:sz="8" w:space="0"/>
              <w:right w:val="single" w:color="000000" w:sz="8" w:space="0"/>
            </w:tcBorders>
            <w:vAlign w:val="center"/>
          </w:tcPr>
          <w:p w14:paraId="79FD7EA5">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危化品</w:t>
            </w:r>
          </w:p>
        </w:tc>
        <w:tc>
          <w:tcPr>
            <w:tcW w:w="5562" w:type="dxa"/>
            <w:tcBorders>
              <w:top w:val="nil"/>
              <w:left w:val="nil"/>
              <w:bottom w:val="single" w:color="000000" w:sz="8" w:space="0"/>
              <w:right w:val="single" w:color="000000" w:sz="8" w:space="0"/>
            </w:tcBorders>
            <w:vAlign w:val="center"/>
          </w:tcPr>
          <w:p w14:paraId="160D232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油罐区(油桶)旁未悬挂“禁上烟火”、“严禁火种”、“油库重地、闲人免进”等安全禁止标志、警示标志和火灾报警标志。</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78730FC7">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100-200元/处</w:t>
            </w:r>
          </w:p>
        </w:tc>
      </w:tr>
      <w:tr w14:paraId="485D82F7">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7F25DD8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5</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7C032FDE">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304F63AA">
            <w:pPr>
              <w:jc w:val="cente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51E23A8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油罐区(油桶)场所内要未设置必要的泡沫灭火器等有效的消防器材，未定期检查，</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7F8A58BE">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100-200元/处</w:t>
            </w:r>
          </w:p>
        </w:tc>
      </w:tr>
      <w:tr w14:paraId="621AFBB9">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1F256EC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6</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7B3C2B40">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1C58904F">
            <w:pPr>
              <w:jc w:val="cente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5830C8C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油罐区(油桶)周围未装设防雷电(如:避雷针)设施，其防雷击范围未覆盖整个罐体</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7799F207">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100-200元/处</w:t>
            </w:r>
          </w:p>
        </w:tc>
      </w:tr>
      <w:tr w14:paraId="04DE11AF">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07184E5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7</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169414A2">
            <w:pPr>
              <w:rPr>
                <w:rFonts w:hint="eastAsia" w:ascii="宋体" w:hAnsi="宋体" w:eastAsia="宋体" w:cs="宋体"/>
                <w:color w:val="auto"/>
                <w:sz w:val="24"/>
                <w:szCs w:val="24"/>
                <w:highlight w:val="none"/>
              </w:rPr>
            </w:pPr>
          </w:p>
        </w:tc>
        <w:tc>
          <w:tcPr>
            <w:tcW w:w="1252" w:type="dxa"/>
            <w:vMerge w:val="restart"/>
            <w:tcBorders>
              <w:top w:val="nil"/>
              <w:left w:val="nil"/>
              <w:bottom w:val="single" w:color="000000" w:sz="8" w:space="0"/>
              <w:right w:val="single" w:color="000000" w:sz="8" w:space="0"/>
            </w:tcBorders>
            <w:vAlign w:val="center"/>
          </w:tcPr>
          <w:p w14:paraId="2E7A25D1">
            <w:pPr>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消防安全</w:t>
            </w:r>
          </w:p>
        </w:tc>
        <w:tc>
          <w:tcPr>
            <w:tcW w:w="5562" w:type="dxa"/>
            <w:tcBorders>
              <w:top w:val="nil"/>
              <w:left w:val="nil"/>
              <w:bottom w:val="single" w:color="000000" w:sz="8" w:space="0"/>
              <w:right w:val="single" w:color="000000" w:sz="8" w:space="0"/>
            </w:tcBorders>
            <w:vAlign w:val="center"/>
          </w:tcPr>
          <w:p w14:paraId="4EFDB18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消防器材配置不合理，不符合要求。</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6DEAB87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100-200元/处</w:t>
            </w:r>
          </w:p>
        </w:tc>
      </w:tr>
      <w:tr w14:paraId="32C82876">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61C7A31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8</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3A9883B5">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0EA75AF2">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000FB7F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消防器材是否完好有效。</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61F5A67F">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100-200元/处</w:t>
            </w:r>
          </w:p>
        </w:tc>
      </w:tr>
      <w:tr w14:paraId="34ABD511">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1CBC9A2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9</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114ADA08">
            <w:pPr>
              <w:rPr>
                <w:rFonts w:hint="eastAsia" w:ascii="宋体" w:hAnsi="宋体" w:eastAsia="宋体" w:cs="宋体"/>
                <w:color w:val="auto"/>
                <w:sz w:val="24"/>
                <w:szCs w:val="24"/>
                <w:highlight w:val="none"/>
              </w:rPr>
            </w:pPr>
          </w:p>
        </w:tc>
        <w:tc>
          <w:tcPr>
            <w:tcW w:w="1252" w:type="dxa"/>
            <w:vMerge w:val="continue"/>
            <w:tcBorders>
              <w:top w:val="nil"/>
              <w:left w:val="nil"/>
              <w:bottom w:val="single" w:color="000000" w:sz="8" w:space="0"/>
              <w:right w:val="single" w:color="000000" w:sz="8" w:space="0"/>
            </w:tcBorders>
            <w:vAlign w:val="center"/>
          </w:tcPr>
          <w:p w14:paraId="7C940098">
            <w:pPr>
              <w:rPr>
                <w:rFonts w:hint="eastAsia" w:ascii="宋体" w:hAnsi="宋体" w:eastAsia="宋体" w:cs="宋体"/>
                <w:color w:val="auto"/>
                <w:sz w:val="24"/>
                <w:szCs w:val="24"/>
                <w:highlight w:val="none"/>
              </w:rPr>
            </w:pPr>
          </w:p>
        </w:tc>
        <w:tc>
          <w:tcPr>
            <w:tcW w:w="5562" w:type="dxa"/>
            <w:tcBorders>
              <w:top w:val="nil"/>
              <w:left w:val="nil"/>
              <w:bottom w:val="single" w:color="000000" w:sz="8" w:space="0"/>
              <w:right w:val="single" w:color="000000" w:sz="8" w:space="0"/>
            </w:tcBorders>
            <w:vAlign w:val="center"/>
          </w:tcPr>
          <w:p w14:paraId="769CE55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建构筑物不符合消防要求，消防通道堵塞；</w:t>
            </w:r>
          </w:p>
          <w:p w14:paraId="2512357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建筑物高度超过24米未设置临时消防水；</w:t>
            </w:r>
          </w:p>
          <w:p w14:paraId="6A2AB00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动火作业人员无特种作业人员证件；</w:t>
            </w:r>
          </w:p>
          <w:p w14:paraId="035282B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动火作业无动火审批、灭火措施、无看护人；</w:t>
            </w:r>
          </w:p>
          <w:p w14:paraId="1CE293E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临时消防管道未设置成环形；</w:t>
            </w:r>
          </w:p>
          <w:p w14:paraId="27C5100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办公区、生活区板房材质不是A级防火建材；</w:t>
            </w:r>
          </w:p>
          <w:p w14:paraId="7E76EEA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办公区、生活区无消防设施、消防用水；</w:t>
            </w:r>
          </w:p>
          <w:p w14:paraId="7C87369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办公区、生活区无防雷措施；</w:t>
            </w:r>
          </w:p>
          <w:p w14:paraId="6D728490">
            <w:pPr>
              <w:pStyle w:val="16"/>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生活区宿舍违规使用大功率电器或外出用电设备不断电。</w:t>
            </w:r>
          </w:p>
        </w:tc>
        <w:tc>
          <w:tcPr>
            <w:tcW w:w="1750" w:type="dxa"/>
            <w:tcBorders>
              <w:top w:val="nil"/>
              <w:left w:val="nil"/>
              <w:bottom w:val="single" w:color="000000" w:sz="8" w:space="0"/>
              <w:right w:val="single" w:color="000000" w:sz="8" w:space="0"/>
            </w:tcBorders>
            <w:tcMar>
              <w:top w:w="10" w:type="dxa"/>
              <w:left w:w="10" w:type="dxa"/>
              <w:right w:w="10" w:type="dxa"/>
            </w:tcMar>
            <w:vAlign w:val="center"/>
          </w:tcPr>
          <w:p w14:paraId="26BDB8CD">
            <w:pPr>
              <w:spacing w:line="360" w:lineRule="auto"/>
              <w:jc w:val="center"/>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none"/>
                <w:lang w:eastAsia="zh-CN"/>
              </w:rPr>
              <w:t>100-200元/处</w:t>
            </w:r>
          </w:p>
        </w:tc>
      </w:tr>
      <w:tr w14:paraId="26B56021">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4676D4A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lang w:val="en-US" w:eastAsia="zh-CN"/>
              </w:rPr>
              <w:t>0</w:t>
            </w:r>
          </w:p>
        </w:tc>
        <w:tc>
          <w:tcPr>
            <w:tcW w:w="510" w:type="dxa"/>
            <w:vMerge w:val="restart"/>
            <w:tcBorders>
              <w:top w:val="nil"/>
              <w:left w:val="nil"/>
              <w:bottom w:val="single" w:color="000000" w:sz="8" w:space="0"/>
              <w:right w:val="single" w:color="000000" w:sz="8" w:space="0"/>
            </w:tcBorders>
            <w:tcMar>
              <w:top w:w="10" w:type="dxa"/>
              <w:left w:w="10" w:type="dxa"/>
              <w:right w:w="10" w:type="dxa"/>
            </w:tcMar>
            <w:vAlign w:val="center"/>
          </w:tcPr>
          <w:p w14:paraId="70EA461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w:t>
            </w:r>
          </w:p>
          <w:p w14:paraId="3067594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w:t>
            </w:r>
          </w:p>
          <w:p w14:paraId="4DFDC5A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事故</w:t>
            </w:r>
          </w:p>
        </w:tc>
        <w:tc>
          <w:tcPr>
            <w:tcW w:w="6814" w:type="dxa"/>
            <w:gridSpan w:val="2"/>
            <w:tcBorders>
              <w:top w:val="nil"/>
              <w:left w:val="nil"/>
              <w:bottom w:val="single" w:color="000000" w:sz="8" w:space="0"/>
              <w:right w:val="single" w:color="000000" w:sz="8" w:space="0"/>
            </w:tcBorders>
            <w:vAlign w:val="center"/>
          </w:tcPr>
          <w:p w14:paraId="3E46941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1人死亡，或者3人（不含本数）以下重伤，或者500万元（不含本数）以下直接经济损失的事故。</w:t>
            </w:r>
          </w:p>
        </w:tc>
        <w:tc>
          <w:tcPr>
            <w:tcW w:w="1750" w:type="dxa"/>
            <w:vMerge w:val="restart"/>
            <w:tcBorders>
              <w:top w:val="nil"/>
              <w:left w:val="nil"/>
              <w:right w:val="single" w:color="000000" w:sz="8" w:space="0"/>
            </w:tcBorders>
            <w:tcMar>
              <w:top w:w="10" w:type="dxa"/>
              <w:left w:w="10" w:type="dxa"/>
              <w:right w:w="10" w:type="dxa"/>
            </w:tcMar>
            <w:vAlign w:val="center"/>
          </w:tcPr>
          <w:p w14:paraId="0A456D33">
            <w:pPr>
              <w:spacing w:line="360" w:lineRule="auto"/>
              <w:jc w:val="center"/>
              <w:rPr>
                <w:rFonts w:hint="eastAsia" w:ascii="宋体" w:hAnsi="宋体" w:eastAsia="宋体" w:cs="宋体"/>
                <w:color w:val="FF0000"/>
                <w:sz w:val="24"/>
                <w:szCs w:val="24"/>
                <w:highlight w:val="yellow"/>
                <w:lang w:val="en-US" w:eastAsia="zh-CN"/>
              </w:rPr>
            </w:pPr>
            <w:r>
              <w:rPr>
                <w:rFonts w:hint="eastAsia" w:ascii="宋体" w:hAnsi="宋体" w:eastAsia="宋体" w:cs="宋体"/>
                <w:color w:val="auto"/>
                <w:sz w:val="24"/>
                <w:szCs w:val="24"/>
                <w:highlight w:val="none"/>
                <w:lang w:val="en-US" w:eastAsia="zh-CN"/>
              </w:rPr>
              <w:t>同行政主管部门处罚金额</w:t>
            </w:r>
          </w:p>
        </w:tc>
      </w:tr>
      <w:tr w14:paraId="452AEA7C">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468C068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lang w:val="en-US" w:eastAsia="zh-CN"/>
              </w:rPr>
              <w:t>1</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5C51A174">
            <w:pPr>
              <w:rPr>
                <w:rFonts w:hint="eastAsia" w:ascii="宋体" w:hAnsi="宋体" w:eastAsia="宋体" w:cs="宋体"/>
                <w:color w:val="auto"/>
                <w:sz w:val="24"/>
                <w:szCs w:val="24"/>
                <w:highlight w:val="none"/>
              </w:rPr>
            </w:pPr>
          </w:p>
        </w:tc>
        <w:tc>
          <w:tcPr>
            <w:tcW w:w="6814" w:type="dxa"/>
            <w:gridSpan w:val="2"/>
            <w:tcBorders>
              <w:top w:val="nil"/>
              <w:left w:val="nil"/>
              <w:bottom w:val="single" w:color="000000" w:sz="8" w:space="0"/>
              <w:right w:val="single" w:color="000000" w:sz="8" w:space="0"/>
            </w:tcBorders>
            <w:vAlign w:val="center"/>
          </w:tcPr>
          <w:p w14:paraId="566CB52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2人死亡，或者3人（含本数）以上5人（不含本数）以下重伤，或者500万元（含本数）以上1000万元以下直接经济损失的事故。</w:t>
            </w:r>
          </w:p>
        </w:tc>
        <w:tc>
          <w:tcPr>
            <w:tcW w:w="1750" w:type="dxa"/>
            <w:vMerge w:val="continue"/>
            <w:tcBorders>
              <w:left w:val="nil"/>
              <w:right w:val="single" w:color="000000" w:sz="8" w:space="0"/>
            </w:tcBorders>
            <w:tcMar>
              <w:top w:w="10" w:type="dxa"/>
              <w:left w:w="10" w:type="dxa"/>
              <w:right w:w="10" w:type="dxa"/>
            </w:tcMar>
            <w:vAlign w:val="center"/>
          </w:tcPr>
          <w:p w14:paraId="66A9DC06">
            <w:pPr>
              <w:spacing w:line="360" w:lineRule="auto"/>
              <w:ind w:firstLine="480" w:firstLineChars="200"/>
              <w:rPr>
                <w:rFonts w:hint="eastAsia" w:ascii="宋体" w:hAnsi="宋体" w:eastAsia="宋体" w:cs="宋体"/>
                <w:color w:val="FF0000"/>
                <w:sz w:val="24"/>
                <w:szCs w:val="24"/>
                <w:highlight w:val="yellow"/>
                <w:lang w:eastAsia="zh-CN"/>
              </w:rPr>
            </w:pPr>
          </w:p>
        </w:tc>
      </w:tr>
      <w:tr w14:paraId="36740C62">
        <w:tblPrEx>
          <w:tblCellMar>
            <w:top w:w="0" w:type="dxa"/>
            <w:left w:w="0" w:type="dxa"/>
            <w:bottom w:w="0" w:type="dxa"/>
            <w:right w:w="0" w:type="dxa"/>
          </w:tblCellMar>
        </w:tblPrEx>
        <w:trPr>
          <w:trHeight w:val="567" w:hRule="atLeast"/>
        </w:trPr>
        <w:tc>
          <w:tcPr>
            <w:tcW w:w="652" w:type="dxa"/>
            <w:tcBorders>
              <w:top w:val="nil"/>
              <w:left w:val="single" w:color="000000" w:sz="8" w:space="0"/>
              <w:bottom w:val="single" w:color="000000" w:sz="8" w:space="0"/>
              <w:right w:val="single" w:color="000000" w:sz="8" w:space="0"/>
            </w:tcBorders>
            <w:tcMar>
              <w:top w:w="10" w:type="dxa"/>
              <w:left w:w="10" w:type="dxa"/>
              <w:right w:w="10" w:type="dxa"/>
            </w:tcMar>
            <w:vAlign w:val="center"/>
          </w:tcPr>
          <w:p w14:paraId="7C4DE13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lang w:val="en-US" w:eastAsia="zh-CN"/>
              </w:rPr>
              <w:t>2</w:t>
            </w:r>
          </w:p>
        </w:tc>
        <w:tc>
          <w:tcPr>
            <w:tcW w:w="510" w:type="dxa"/>
            <w:vMerge w:val="continue"/>
            <w:tcBorders>
              <w:top w:val="nil"/>
              <w:left w:val="nil"/>
              <w:bottom w:val="single" w:color="000000" w:sz="8" w:space="0"/>
              <w:right w:val="single" w:color="000000" w:sz="8" w:space="0"/>
            </w:tcBorders>
            <w:tcMar>
              <w:top w:w="10" w:type="dxa"/>
              <w:left w:w="10" w:type="dxa"/>
              <w:right w:w="10" w:type="dxa"/>
            </w:tcMar>
            <w:vAlign w:val="center"/>
          </w:tcPr>
          <w:p w14:paraId="781DAD47">
            <w:pPr>
              <w:rPr>
                <w:rFonts w:hint="eastAsia" w:ascii="宋体" w:hAnsi="宋体" w:eastAsia="宋体" w:cs="宋体"/>
                <w:color w:val="auto"/>
                <w:sz w:val="24"/>
                <w:szCs w:val="24"/>
                <w:highlight w:val="none"/>
              </w:rPr>
            </w:pPr>
          </w:p>
        </w:tc>
        <w:tc>
          <w:tcPr>
            <w:tcW w:w="6814" w:type="dxa"/>
            <w:gridSpan w:val="2"/>
            <w:tcBorders>
              <w:top w:val="nil"/>
              <w:left w:val="nil"/>
              <w:bottom w:val="single" w:color="000000" w:sz="8" w:space="0"/>
              <w:right w:val="single" w:color="000000" w:sz="8" w:space="0"/>
            </w:tcBorders>
            <w:vAlign w:val="center"/>
          </w:tcPr>
          <w:p w14:paraId="1DCCEA0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3人（含本数）以上死亡的事故，5人（含本数）以上重伤的事故，1000万元以上直接经济损失的</w:t>
            </w:r>
          </w:p>
        </w:tc>
        <w:tc>
          <w:tcPr>
            <w:tcW w:w="1750" w:type="dxa"/>
            <w:vMerge w:val="continue"/>
            <w:tcBorders>
              <w:left w:val="nil"/>
              <w:bottom w:val="single" w:color="000000" w:sz="8" w:space="0"/>
              <w:right w:val="single" w:color="000000" w:sz="8" w:space="0"/>
            </w:tcBorders>
            <w:tcMar>
              <w:top w:w="10" w:type="dxa"/>
              <w:left w:w="10" w:type="dxa"/>
              <w:right w:w="10" w:type="dxa"/>
            </w:tcMar>
            <w:vAlign w:val="center"/>
          </w:tcPr>
          <w:p w14:paraId="140B3D16">
            <w:pPr>
              <w:spacing w:line="360" w:lineRule="auto"/>
              <w:ind w:firstLine="480" w:firstLineChars="200"/>
              <w:rPr>
                <w:rFonts w:hint="eastAsia" w:ascii="宋体" w:hAnsi="宋体" w:eastAsia="宋体" w:cs="宋体"/>
                <w:color w:val="FF0000"/>
                <w:sz w:val="24"/>
                <w:szCs w:val="24"/>
                <w:highlight w:val="yellow"/>
                <w:lang w:eastAsia="zh-CN"/>
              </w:rPr>
            </w:pPr>
          </w:p>
        </w:tc>
      </w:tr>
      <w:tr w14:paraId="687CB139">
        <w:tblPrEx>
          <w:tblCellMar>
            <w:top w:w="0" w:type="dxa"/>
            <w:left w:w="0" w:type="dxa"/>
            <w:bottom w:w="0" w:type="dxa"/>
            <w:right w:w="0" w:type="dxa"/>
          </w:tblCellMar>
        </w:tblPrEx>
        <w:trPr>
          <w:trHeight w:val="567" w:hRule="atLeast"/>
        </w:trPr>
        <w:tc>
          <w:tcPr>
            <w:tcW w:w="9726" w:type="dxa"/>
            <w:gridSpan w:val="5"/>
            <w:tcBorders>
              <w:top w:val="nil"/>
              <w:left w:val="single" w:color="000000" w:sz="8" w:space="0"/>
              <w:bottom w:val="single" w:color="000000" w:sz="8" w:space="0"/>
              <w:right w:val="single" w:color="000000" w:sz="8" w:space="0"/>
            </w:tcBorders>
            <w:vAlign w:val="center"/>
          </w:tcPr>
          <w:p w14:paraId="2C64313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D9DF1A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1.工程质量问题按国家相关法律法规及合同相关约定处理。  </w:t>
            </w:r>
          </w:p>
          <w:p w14:paraId="2EA1115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2.合同中约定的违约责任低于本处罚附录标准的，按本处罚附录执行。本《安全文明施工违约附录》约定的处罚标准低于合同中其他条款的标准的，按合同中的其他条款执行。</w:t>
            </w:r>
          </w:p>
          <w:p w14:paraId="5FBA4A2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3.发生安全质量事故的，除按本附录处罚外，应追究相应法律责任。</w:t>
            </w:r>
          </w:p>
          <w:p w14:paraId="712B896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处罚原则：同一项目同一安全文明施工处罚事项中，第1次检查发现未履责，处最低限额罚款，并处警告与责令限期整改；同一项目同一安全文明施工处罚事项中，第2次检查发现未整改的，处最低限额2倍罚款，并责令限期整改；同一项目同一安全文明施工处罚事项中，第3次及之后检查发现未整改的，处最高限额罚款；同一项目中违反多项安全文明施工处罚事项的，按每项事项应承担违约金额累计处罚；情节特别严重的或者造成恶劣影响的，计入发包人履约企业黑名单，2年内不得承接发包人工程项目。</w:t>
            </w:r>
          </w:p>
          <w:p w14:paraId="0913968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施工单位未履责的安全文明施工处罚事项，监理单位承担“连带责任”处罚，与施工单位同等前述规定的处罚原则承担责任。监理单位出具书面依据能证明其安全文明施工监督与管理责任已履行到位的，且经发包人查证属实的，监理单位可免除处罚，由施工单位承担“双倍处罚”。</w:t>
            </w:r>
          </w:p>
          <w:p w14:paraId="6F42E38D">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检查发现处罚事项发生后5个工作日内，发包人作出处罚决定书，可以用传真、电子邮件、现场领取等方式送达被处罚单位。处罚决定书发出当日视为被处罚单位收到处罚决定书之日。被处罚单位应于收到处罚决定书后5个工作日内，以现金（转账或电汇）方式将罚款转入发包人指定账户。未在限定期限内缴纳应承担违约金的，发包人在支付合同费用时按“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倍”金额扣除。</w:t>
            </w:r>
          </w:p>
        </w:tc>
      </w:tr>
    </w:tbl>
    <w:p w14:paraId="65CA353C">
      <w:pPr>
        <w:spacing w:before="156" w:beforeLines="50" w:after="156" w:afterLines="50" w:line="480" w:lineRule="auto"/>
        <w:jc w:val="both"/>
        <w:rPr>
          <w:rFonts w:ascii="宋体"/>
          <w:color w:val="auto"/>
          <w:szCs w:val="21"/>
          <w:highlight w:val="none"/>
        </w:rPr>
      </w:pPr>
    </w:p>
    <w:p w14:paraId="59BB2C55">
      <w:pPr>
        <w:spacing w:before="156" w:beforeLines="50" w:after="156" w:afterLines="50" w:line="480" w:lineRule="auto"/>
        <w:jc w:val="center"/>
        <w:rPr>
          <w:rFonts w:ascii="宋体"/>
          <w:color w:val="auto"/>
          <w:szCs w:val="21"/>
          <w:highlight w:val="none"/>
        </w:rPr>
      </w:pPr>
    </w:p>
    <w:p w14:paraId="1BAA5C39">
      <w:pPr>
        <w:widowControl/>
        <w:kinsoku w:val="0"/>
        <w:autoSpaceDE w:val="0"/>
        <w:autoSpaceDN w:val="0"/>
        <w:adjustRightInd w:val="0"/>
        <w:snapToGrid w:val="0"/>
        <w:spacing w:before="78" w:line="185" w:lineRule="auto"/>
        <w:ind w:firstLine="2"/>
        <w:jc w:val="left"/>
        <w:textAlignment w:val="baseline"/>
        <w:rPr>
          <w:rFonts w:ascii="宋体" w:cs="宋体"/>
          <w:snapToGrid w:val="0"/>
          <w:color w:val="auto"/>
          <w:spacing w:val="-9"/>
          <w:kern w:val="0"/>
          <w:sz w:val="24"/>
          <w:szCs w:val="24"/>
          <w:highlight w:val="none"/>
        </w:rPr>
      </w:pPr>
    </w:p>
    <w:p w14:paraId="65CBCA25">
      <w:pPr>
        <w:spacing w:line="360" w:lineRule="auto"/>
        <w:rPr>
          <w:rFonts w:hint="default" w:ascii="宋体" w:hAnsi="宋体" w:cs="宋体"/>
          <w:sz w:val="21"/>
          <w:szCs w:val="21"/>
          <w:lang w:val="en-US" w:eastAsia="zh-CN"/>
        </w:rPr>
      </w:pPr>
    </w:p>
    <w:sectPr>
      <w:pgSz w:w="11906" w:h="16838"/>
      <w:pgMar w:top="1134" w:right="1134" w:bottom="1134" w:left="1418" w:header="851" w:footer="680" w:gutter="0"/>
      <w:pgNumType w:fmt="decimal"/>
      <w:cols w:space="425" w:num="1"/>
      <w:titlePg/>
      <w:docGrid w:linePitch="4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Palatino">
    <w:altName w:val="Times New Roman"/>
    <w:panose1 w:val="00000000000000000000"/>
    <w:charset w:val="00"/>
    <w:family w:val="roman"/>
    <w:pitch w:val="default"/>
    <w:sig w:usb0="00000000" w:usb1="00000000" w:usb2="00000000" w:usb3="00000000" w:csb0="00000001" w:csb1="00000000"/>
  </w:font>
  <w:font w:name="方正姚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74142">
    <w:pPr>
      <w:pStyle w:val="2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606B00">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3606B00">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66455">
    <w:pPr>
      <w:pStyle w:val="26"/>
      <w:jc w:val="center"/>
      <w:rPr>
        <w:rFonts w:ascii="宋体" w:hAnsi="宋体"/>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FBCAD">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A8FBCAD">
                    <w:pPr>
                      <w:pStyle w:val="2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EAB17">
    <w:pPr>
      <w:pStyle w:val="26"/>
      <w:jc w:val="both"/>
      <w:rPr>
        <w:rFonts w:ascii="仿宋_GB2312" w:eastAsia="仿宋_GB2312"/>
        <w:kern w:val="0"/>
        <w:szCs w:val="21"/>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77EEE">
                          <w:pPr>
                            <w:pStyle w:val="26"/>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2D577EEE">
                    <w:pPr>
                      <w:pStyle w:val="26"/>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p w14:paraId="0B967080">
    <w:pPr>
      <w:pStyle w:val="26"/>
      <w:jc w:val="both"/>
      <w:rPr>
        <w:rFonts w:asciiTheme="minorEastAsia" w:hAnsiTheme="minorEastAsia" w:eastAsiaTheme="minorEastAsia"/>
        <w:kern w:val="0"/>
        <w:sz w:val="21"/>
        <w:szCs w:val="21"/>
      </w:rPr>
    </w:pPr>
  </w:p>
  <w:p w14:paraId="11638334">
    <w:pPr>
      <w:pStyle w:val="26"/>
      <w:jc w:val="both"/>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5CB03">
    <w:pPr>
      <w:pStyle w:val="26"/>
      <w:framePr w:wrap="around" w:vAnchor="text" w:hAnchor="margin" w:xAlign="center" w:y="1"/>
      <w:rPr>
        <w:rStyle w:val="45"/>
      </w:rPr>
    </w:pPr>
    <w:r>
      <w:rPr>
        <w:rStyle w:val="45"/>
      </w:rPr>
      <w:fldChar w:fldCharType="begin"/>
    </w:r>
    <w:r>
      <w:rPr>
        <w:rStyle w:val="45"/>
      </w:rPr>
      <w:instrText xml:space="preserve">PAGE  </w:instrText>
    </w:r>
    <w:r>
      <w:rPr>
        <w:rStyle w:val="45"/>
      </w:rPr>
      <w:fldChar w:fldCharType="end"/>
    </w:r>
  </w:p>
  <w:p w14:paraId="220225BD">
    <w:pPr>
      <w:pStyle w:val="26"/>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B785B">
    <w:pPr>
      <w:pStyle w:val="26"/>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E98BF">
                          <w:pPr>
                            <w:pStyle w:val="26"/>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31E98BF">
                    <w:pPr>
                      <w:pStyle w:val="26"/>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77014">
    <w:pPr>
      <w:pStyle w:val="26"/>
      <w:jc w:val="both"/>
      <w:rPr>
        <w:rFonts w:ascii="仿宋_GB2312" w:eastAsia="仿宋_GB2312"/>
        <w:kern w:val="0"/>
        <w:szCs w:val="21"/>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9B54DC">
                          <w:pPr>
                            <w:pStyle w:val="26"/>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E9B54DC">
                    <w:pPr>
                      <w:pStyle w:val="26"/>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p w14:paraId="54744C77">
    <w:pPr>
      <w:pStyle w:val="26"/>
      <w:jc w:val="both"/>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74C45">
    <w:pPr>
      <w:pStyle w:val="26"/>
      <w:framePr w:wrap="around" w:vAnchor="text" w:hAnchor="margin" w:xAlign="center" w:y="1"/>
      <w:rPr>
        <w:rStyle w:val="45"/>
      </w:rPr>
    </w:pPr>
    <w:r>
      <w:rPr>
        <w:rStyle w:val="45"/>
      </w:rPr>
      <w:fldChar w:fldCharType="begin"/>
    </w:r>
    <w:r>
      <w:rPr>
        <w:rStyle w:val="45"/>
      </w:rPr>
      <w:instrText xml:space="preserve">PAGE  </w:instrText>
    </w:r>
    <w:r>
      <w:rPr>
        <w:rStyle w:val="45"/>
      </w:rPr>
      <w:fldChar w:fldCharType="end"/>
    </w:r>
  </w:p>
  <w:p w14:paraId="0F1614A3">
    <w:pPr>
      <w:pStyle w:val="26"/>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2FD98">
    <w:pPr>
      <w:pStyle w:val="26"/>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7B0986">
                          <w:pPr>
                            <w:pStyle w:val="26"/>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47B0986">
                    <w:pPr>
                      <w:pStyle w:val="26"/>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6A400">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FA327">
    <w:pPr>
      <w:pStyle w:val="26"/>
      <w:ind w:right="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7B03E">
                          <w:pPr>
                            <w:pStyle w:val="26"/>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E27B03E">
                    <w:pPr>
                      <w:pStyle w:val="26"/>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D45CF">
    <w:pPr>
      <w:pStyle w:val="26"/>
      <w:framePr w:wrap="around" w:vAnchor="text" w:hAnchor="margin" w:xAlign="right" w:y="1"/>
      <w:rPr>
        <w:rStyle w:val="45"/>
      </w:rPr>
    </w:pPr>
    <w:r>
      <w:rPr>
        <w:rStyle w:val="45"/>
      </w:rPr>
      <w:fldChar w:fldCharType="begin"/>
    </w:r>
    <w:r>
      <w:rPr>
        <w:rStyle w:val="45"/>
      </w:rPr>
      <w:instrText xml:space="preserve">PAGE  </w:instrText>
    </w:r>
    <w:r>
      <w:rPr>
        <w:rStyle w:val="45"/>
      </w:rPr>
      <w:fldChar w:fldCharType="end"/>
    </w:r>
  </w:p>
  <w:p w14:paraId="1FD6859A">
    <w:pPr>
      <w:pStyle w:val="2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F6E5C">
    <w:pPr>
      <w:pStyle w:val="2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1E089">
                          <w:pPr>
                            <w:pStyle w:val="26"/>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D21E089">
                    <w:pPr>
                      <w:pStyle w:val="26"/>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436C4">
    <w:pPr>
      <w:pStyle w:val="2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1A4B9">
    <w:pPr>
      <w:pStyle w:val="26"/>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8FE02">
                          <w:pPr>
                            <w:pStyle w:val="26"/>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828FE02">
                    <w:pPr>
                      <w:pStyle w:val="26"/>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68D60">
    <w:pPr>
      <w:pStyle w:val="26"/>
      <w:jc w:val="center"/>
      <w:rPr>
        <w:rFonts w:ascii="宋体" w:hAnsi="宋体"/>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73243C">
                          <w:pPr>
                            <w:pStyle w:val="26"/>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E73243C">
                    <w:pPr>
                      <w:pStyle w:val="26"/>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7DDC8">
    <w:pPr>
      <w:pStyle w:val="26"/>
      <w:jc w:val="center"/>
      <w:rPr>
        <w:rFonts w:ascii="宋体" w:hAnsi="宋体"/>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E9D94">
                          <w:pPr>
                            <w:pStyle w:val="26"/>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4BE9D94">
                    <w:pPr>
                      <w:pStyle w:val="26"/>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3F803">
    <w:pPr>
      <w:pBdr>
        <w:bottom w:val="single" w:color="auto" w:sz="4" w:space="0"/>
      </w:pBdr>
      <w:jc w:val="right"/>
      <w:rPr>
        <w:rFonts w:hint="eastAsia" w:ascii="宋体" w:hAnsi="宋体" w:eastAsia="宋体" w:cs="Times New Roman"/>
        <w:kern w:val="2"/>
        <w:sz w:val="18"/>
        <w:szCs w:val="18"/>
        <w:lang w:val="en-US" w:eastAsia="zh-CN" w:bidi="ar-SA"/>
      </w:rPr>
    </w:pPr>
    <w:r>
      <w:rPr>
        <w:rFonts w:hint="eastAsia" w:ascii="宋体" w:hAnsi="宋体"/>
      </w:rPr>
      <w:t xml:space="preserve">                  </w:t>
    </w:r>
    <w:r>
      <w:rPr>
        <w:rFonts w:hint="eastAsia" w:ascii="宋体" w:hAnsi="宋体" w:eastAsia="宋体" w:cs="Times New Roman"/>
        <w:kern w:val="2"/>
        <w:sz w:val="18"/>
        <w:szCs w:val="18"/>
        <w:lang w:val="en-US" w:eastAsia="zh-CN" w:bidi="ar-SA"/>
      </w:rPr>
      <w:t xml:space="preserve"> </w:t>
    </w:r>
    <w:r>
      <w:rPr>
        <w:rFonts w:hint="eastAsia" w:ascii="宋体" w:hAnsi="宋体" w:cs="Times New Roman"/>
        <w:kern w:val="2"/>
        <w:sz w:val="18"/>
        <w:szCs w:val="18"/>
        <w:lang w:val="en-US" w:eastAsia="zh-CN" w:bidi="ar-SA"/>
      </w:rPr>
      <w:t>重庆海联职业技术学院两江校区项目（二期）监理咨询服务招标文件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B0193">
    <w:pPr>
      <w:pBdr>
        <w:bottom w:val="single" w:color="auto" w:sz="4" w:space="0"/>
      </w:pBdr>
      <w:jc w:val="right"/>
    </w:pPr>
    <w:r>
      <w:rPr>
        <w:rFonts w:hint="eastAsia" w:ascii="宋体" w:hAnsi="宋体" w:cs="Times New Roman"/>
        <w:kern w:val="2"/>
        <w:sz w:val="18"/>
        <w:szCs w:val="18"/>
        <w:lang w:val="en-US" w:eastAsia="zh-CN" w:bidi="ar-SA"/>
      </w:rPr>
      <w:t>重庆海联职业技术学院两江校区项目建设工程质量检测服务</w:t>
    </w:r>
    <w:r>
      <w:rPr>
        <w:rFonts w:hint="eastAsia" w:ascii="宋体" w:hAnsi="宋体" w:eastAsia="宋体" w:cs="Times New Roman"/>
        <w:kern w:val="2"/>
        <w:sz w:val="18"/>
        <w:szCs w:val="18"/>
        <w:lang w:val="en-US" w:eastAsia="zh-CN" w:bidi="ar-SA"/>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11030">
    <w:pPr>
      <w:pBdr>
        <w:bottom w:val="single" w:color="auto" w:sz="4" w:space="0"/>
      </w:pBdr>
      <w:jc w:val="right"/>
    </w:pPr>
    <w:r>
      <w:rPr>
        <w:rFonts w:hint="eastAsia"/>
      </w:rPr>
      <w:t xml:space="preserve">                       </w:t>
    </w:r>
    <w:r>
      <w:rPr>
        <w:rFonts w:hint="eastAsia"/>
        <w:lang w:val="en-US" w:eastAsia="zh-CN"/>
      </w:rPr>
      <w:t xml:space="preserve">              </w:t>
    </w:r>
    <w:r>
      <w:rPr>
        <w:rFonts w:hint="eastAsia" w:ascii="宋体" w:hAnsi="宋体" w:cs="Times New Roman"/>
        <w:kern w:val="2"/>
        <w:sz w:val="18"/>
        <w:szCs w:val="18"/>
        <w:lang w:val="en-US" w:eastAsia="zh-CN" w:bidi="ar-SA"/>
      </w:rPr>
      <w:t>重庆海联职业技术学院两江校区项目（二期）监理咨询服务招标文件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D8319">
    <w:pPr>
      <w:keepNext w:val="0"/>
      <w:keepLines w:val="0"/>
      <w:pageBreakBefore w:val="0"/>
      <w:widowControl w:val="0"/>
      <w:pBdr>
        <w:bottom w:val="single" w:color="auto" w:sz="4" w:space="0"/>
      </w:pBdr>
      <w:kinsoku/>
      <w:wordWrap/>
      <w:overflowPunct/>
      <w:topLinePunct w:val="0"/>
      <w:bidi w:val="0"/>
      <w:adjustRightInd/>
      <w:snapToGrid/>
      <w:spacing w:line="360" w:lineRule="auto"/>
      <w:jc w:val="right"/>
      <w:textAlignment w:val="auto"/>
      <w:rPr>
        <w:rFonts w:hint="eastAsia" w:ascii="方正姚体" w:eastAsia="宋体"/>
        <w:color w:val="000000"/>
        <w:sz w:val="18"/>
        <w:szCs w:val="18"/>
        <w:lang w:eastAsia="zh-CN"/>
      </w:rPr>
    </w:pPr>
    <w:r>
      <w:rPr>
        <w:rFonts w:hint="eastAsia" w:ascii="宋体" w:hAnsi="宋体"/>
      </w:rPr>
      <w:t xml:space="preserve">                                 </w:t>
    </w:r>
    <w:r>
      <w:rPr>
        <w:rFonts w:hint="eastAsia" w:ascii="宋体" w:hAnsi="宋体"/>
        <w:sz w:val="18"/>
        <w:szCs w:val="18"/>
      </w:rPr>
      <w:t xml:space="preserve"> </w:t>
    </w:r>
    <w:r>
      <w:rPr>
        <w:rFonts w:hint="eastAsia" w:ascii="宋体" w:hAnsi="宋体"/>
        <w:sz w:val="18"/>
        <w:szCs w:val="18"/>
        <w:lang w:eastAsia="zh-CN"/>
      </w:rPr>
      <w:t>重庆海联职业技术学院两江校区项目（二期）监理咨询服务合同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9144">
    <w:pPr>
      <w:keepNext w:val="0"/>
      <w:keepLines w:val="0"/>
      <w:pageBreakBefore w:val="0"/>
      <w:widowControl w:val="0"/>
      <w:pBdr>
        <w:bottom w:val="single" w:color="auto" w:sz="4" w:space="0"/>
      </w:pBdr>
      <w:kinsoku/>
      <w:wordWrap/>
      <w:overflowPunct/>
      <w:topLinePunct w:val="0"/>
      <w:bidi w:val="0"/>
      <w:adjustRightInd/>
      <w:snapToGrid/>
      <w:spacing w:line="360" w:lineRule="auto"/>
      <w:jc w:val="right"/>
      <w:textAlignment w:val="auto"/>
      <w:rPr>
        <w:rFonts w:hint="eastAsia" w:eastAsia="宋体"/>
        <w:lang w:eastAsia="zh-CN"/>
      </w:rPr>
    </w:pPr>
    <w:r>
      <w:rPr>
        <w:rFonts w:hint="eastAsia"/>
      </w:rPr>
      <w:t xml:space="preserve">   </w:t>
    </w:r>
    <w:r>
      <w:rPr>
        <w:rFonts w:hint="eastAsia"/>
        <w:lang w:eastAsia="zh-CN"/>
      </w:rPr>
      <w:t>重庆海联职业技术学院两江校区项目（二期）监理咨询服务合同</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9B6ED">
    <w:pPr>
      <w:keepNext w:val="0"/>
      <w:keepLines w:val="0"/>
      <w:pageBreakBefore w:val="0"/>
      <w:widowControl w:val="0"/>
      <w:pBdr>
        <w:bottom w:val="single" w:color="auto" w:sz="4" w:space="0"/>
      </w:pBdr>
      <w:kinsoku/>
      <w:wordWrap/>
      <w:overflowPunct/>
      <w:topLinePunct w:val="0"/>
      <w:bidi w:val="0"/>
      <w:adjustRightInd/>
      <w:snapToGrid/>
      <w:spacing w:line="360" w:lineRule="auto"/>
      <w:jc w:val="right"/>
      <w:textAlignment w:val="auto"/>
      <w:rPr>
        <w:rFonts w:hint="eastAsia" w:ascii="方正姚体" w:eastAsia="宋体"/>
        <w:kern w:val="0"/>
        <w:sz w:val="18"/>
        <w:szCs w:val="18"/>
        <w:lang w:eastAsia="zh-CN"/>
      </w:rPr>
    </w:pPr>
    <w:r>
      <w:rPr>
        <w:rFonts w:hint="eastAsia"/>
      </w:rPr>
      <w:t xml:space="preserve">                         </w:t>
    </w:r>
    <w:r>
      <w:rPr>
        <w:rFonts w:hint="eastAsia"/>
        <w:sz w:val="18"/>
        <w:szCs w:val="18"/>
      </w:rPr>
      <w:t xml:space="preserve"> </w:t>
    </w:r>
    <w:r>
      <w:rPr>
        <w:rFonts w:hint="eastAsia"/>
        <w:sz w:val="18"/>
        <w:szCs w:val="18"/>
        <w:lang w:eastAsia="zh-CN"/>
      </w:rPr>
      <w:t>重庆海联职业技术学院两江校区项目（二期）监理咨询服务合同</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35BC0">
    <w:pPr>
      <w:pBdr>
        <w:bottom w:val="single" w:color="auto" w:sz="4" w:space="0"/>
      </w:pBdr>
      <w:spacing w:line="360" w:lineRule="auto"/>
      <w:jc w:val="right"/>
    </w:pPr>
    <w:r>
      <w:rPr>
        <w:rFonts w:hint="eastAsia" w:ascii="宋体" w:hAnsi="宋体" w:cs="Times New Roman"/>
        <w:kern w:val="2"/>
        <w:sz w:val="18"/>
        <w:szCs w:val="18"/>
        <w:lang w:val="en-US" w:eastAsia="zh-CN" w:bidi="ar-SA"/>
      </w:rPr>
      <w:t>重庆海联职业技术学院两江校区项目（二期）监理咨询服务合同</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7706D">
    <w:pPr>
      <w:pBdr>
        <w:bottom w:val="single" w:color="auto" w:sz="4" w:space="0"/>
      </w:pBdr>
      <w:spacing w:line="360" w:lineRule="auto"/>
      <w:jc w:val="right"/>
    </w:pPr>
    <w:r>
      <w:rPr>
        <w:rFonts w:hint="eastAsia" w:ascii="宋体" w:hAnsi="宋体" w:cs="Times New Roman"/>
        <w:kern w:val="2"/>
        <w:sz w:val="18"/>
        <w:szCs w:val="18"/>
        <w:lang w:val="en-US" w:eastAsia="zh-CN" w:bidi="ar-SA"/>
      </w:rPr>
      <w:t>重庆海联职业技术学院两江校区项目（二期）监理咨询服务合同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2AEAF"/>
    <w:multiLevelType w:val="multilevel"/>
    <w:tmpl w:val="8692AEAF"/>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A583FA1F"/>
    <w:multiLevelType w:val="multilevel"/>
    <w:tmpl w:val="A583FA1F"/>
    <w:lvl w:ilvl="0" w:tentative="0">
      <w:start w:val="1"/>
      <w:numFmt w:val="decimal"/>
      <w:lvlText w:val="%1."/>
      <w:lvlJc w:val="left"/>
      <w:pPr>
        <w:tabs>
          <w:tab w:val="left" w:pos="1260"/>
        </w:tabs>
        <w:ind w:left="1260" w:hanging="420"/>
      </w:pPr>
      <w:rPr>
        <w:rFonts w:hint="default"/>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2">
    <w:nsid w:val="B096058C"/>
    <w:multiLevelType w:val="multilevel"/>
    <w:tmpl w:val="B096058C"/>
    <w:lvl w:ilvl="0" w:tentative="0">
      <w:start w:val="1"/>
      <w:numFmt w:val="decimal"/>
      <w:lvlText w:val="12.7.%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BC37A5FF"/>
    <w:multiLevelType w:val="multilevel"/>
    <w:tmpl w:val="BC37A5FF"/>
    <w:lvl w:ilvl="0" w:tentative="0">
      <w:start w:val="1"/>
      <w:numFmt w:val="decimal"/>
      <w:lvlText w:val="%1."/>
      <w:lvlJc w:val="left"/>
      <w:pPr>
        <w:ind w:left="988" w:hanging="420"/>
      </w:pPr>
      <w:rPr>
        <w:rFonts w:hint="eastAsia"/>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4">
    <w:nsid w:val="CA661624"/>
    <w:multiLevelType w:val="multilevel"/>
    <w:tmpl w:val="CA661624"/>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CDF2C928"/>
    <w:multiLevelType w:val="multilevel"/>
    <w:tmpl w:val="CDF2C928"/>
    <w:lvl w:ilvl="0" w:tentative="0">
      <w:start w:val="1"/>
      <w:numFmt w:val="decimal"/>
      <w:lvlText w:val="9.%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D149322E"/>
    <w:multiLevelType w:val="multilevel"/>
    <w:tmpl w:val="D149322E"/>
    <w:lvl w:ilvl="0" w:tentative="0">
      <w:start w:val="1"/>
      <w:numFmt w:val="decimal"/>
      <w:lvlText w:val="7.%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D7DAF11C"/>
    <w:multiLevelType w:val="multilevel"/>
    <w:tmpl w:val="D7DAF11C"/>
    <w:lvl w:ilvl="0" w:tentative="0">
      <w:start w:val="1"/>
      <w:numFmt w:val="decimal"/>
      <w:lvlText w:val="1.%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E4D44780"/>
    <w:multiLevelType w:val="multilevel"/>
    <w:tmpl w:val="E4D44780"/>
    <w:lvl w:ilvl="0" w:tentative="0">
      <w:start w:val="1"/>
      <w:numFmt w:val="decimal"/>
      <w:lvlText w:val="2.%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E5B4FE95"/>
    <w:multiLevelType w:val="multilevel"/>
    <w:tmpl w:val="E5B4FE95"/>
    <w:lvl w:ilvl="0" w:tentative="0">
      <w:start w:val="1"/>
      <w:numFmt w:val="decimal"/>
      <w:lvlText w:val="%1."/>
      <w:legacy w:legacy="1" w:legacySpace="0" w:legacyIndent="360"/>
      <w:lvlJc w:val="left"/>
      <w:pPr>
        <w:ind w:left="377" w:hanging="360"/>
      </w:pPr>
    </w:lvl>
    <w:lvl w:ilvl="1" w:tentative="0">
      <w:start w:val="1"/>
      <w:numFmt w:val="lowerLetter"/>
      <w:lvlText w:val="%2)"/>
      <w:legacy w:legacy="1" w:legacySpace="0" w:legacyIndent="420"/>
      <w:lvlJc w:val="left"/>
      <w:pPr>
        <w:ind w:left="857" w:hanging="420"/>
      </w:pPr>
    </w:lvl>
    <w:lvl w:ilvl="2" w:tentative="0">
      <w:start w:val="1"/>
      <w:numFmt w:val="lowerRoman"/>
      <w:lvlText w:val="%3."/>
      <w:legacy w:legacy="1" w:legacySpace="0" w:legacyIndent="420"/>
      <w:lvlJc w:val="right"/>
      <w:pPr>
        <w:ind w:left="1277" w:hanging="420"/>
      </w:pPr>
    </w:lvl>
    <w:lvl w:ilvl="3" w:tentative="0">
      <w:start w:val="1"/>
      <w:numFmt w:val="decimal"/>
      <w:lvlText w:val="%4."/>
      <w:legacy w:legacy="1" w:legacySpace="0" w:legacyIndent="420"/>
      <w:lvlJc w:val="left"/>
      <w:pPr>
        <w:ind w:left="1697" w:hanging="420"/>
      </w:pPr>
    </w:lvl>
    <w:lvl w:ilvl="4" w:tentative="0">
      <w:start w:val="1"/>
      <w:numFmt w:val="lowerLetter"/>
      <w:lvlText w:val="%5)"/>
      <w:legacy w:legacy="1" w:legacySpace="0" w:legacyIndent="420"/>
      <w:lvlJc w:val="left"/>
      <w:pPr>
        <w:ind w:left="2117" w:hanging="420"/>
      </w:pPr>
    </w:lvl>
    <w:lvl w:ilvl="5" w:tentative="0">
      <w:start w:val="1"/>
      <w:numFmt w:val="lowerRoman"/>
      <w:lvlText w:val="%6."/>
      <w:legacy w:legacy="1" w:legacySpace="0" w:legacyIndent="420"/>
      <w:lvlJc w:val="right"/>
      <w:pPr>
        <w:ind w:left="2537" w:hanging="420"/>
      </w:pPr>
    </w:lvl>
    <w:lvl w:ilvl="6" w:tentative="0">
      <w:start w:val="1"/>
      <w:numFmt w:val="decimal"/>
      <w:lvlText w:val="%7."/>
      <w:legacy w:legacy="1" w:legacySpace="0" w:legacyIndent="420"/>
      <w:lvlJc w:val="left"/>
      <w:pPr>
        <w:ind w:left="2957" w:hanging="420"/>
      </w:pPr>
    </w:lvl>
    <w:lvl w:ilvl="7" w:tentative="0">
      <w:start w:val="1"/>
      <w:numFmt w:val="lowerLetter"/>
      <w:lvlText w:val="%8)"/>
      <w:legacy w:legacy="1" w:legacySpace="0" w:legacyIndent="420"/>
      <w:lvlJc w:val="left"/>
      <w:pPr>
        <w:ind w:left="3377" w:hanging="420"/>
      </w:pPr>
    </w:lvl>
    <w:lvl w:ilvl="8" w:tentative="0">
      <w:start w:val="1"/>
      <w:numFmt w:val="lowerRoman"/>
      <w:lvlText w:val="%9."/>
      <w:legacy w:legacy="1" w:legacySpace="0" w:legacyIndent="420"/>
      <w:lvlJc w:val="right"/>
      <w:pPr>
        <w:ind w:left="3797" w:hanging="420"/>
      </w:pPr>
    </w:lvl>
  </w:abstractNum>
  <w:abstractNum w:abstractNumId="10">
    <w:nsid w:val="F14D9532"/>
    <w:multiLevelType w:val="multilevel"/>
    <w:tmpl w:val="F14D9532"/>
    <w:lvl w:ilvl="0" w:tentative="0">
      <w:start w:val="1"/>
      <w:numFmt w:val="decimal"/>
      <w:lvlText w:val="16.%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0000015"/>
    <w:multiLevelType w:val="multilevel"/>
    <w:tmpl w:val="00000015"/>
    <w:lvl w:ilvl="0" w:tentative="0">
      <w:start w:val="1"/>
      <w:numFmt w:val="decimal"/>
      <w:lvlText w:val="%1."/>
      <w:lvlJc w:val="left"/>
      <w:pPr>
        <w:tabs>
          <w:tab w:val="left" w:pos="1260"/>
        </w:tabs>
        <w:ind w:left="1260" w:hanging="420"/>
      </w:pPr>
      <w:rPr>
        <w:rFonts w:hint="default"/>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12">
    <w:nsid w:val="009DA1B0"/>
    <w:multiLevelType w:val="singleLevel"/>
    <w:tmpl w:val="009DA1B0"/>
    <w:lvl w:ilvl="0" w:tentative="0">
      <w:start w:val="1"/>
      <w:numFmt w:val="chineseCounting"/>
      <w:suff w:val="nothing"/>
      <w:lvlText w:val="%1、"/>
      <w:lvlJc w:val="left"/>
      <w:pPr>
        <w:ind w:left="0" w:firstLine="420"/>
      </w:pPr>
      <w:rPr>
        <w:rFonts w:hint="eastAsia"/>
      </w:rPr>
    </w:lvl>
  </w:abstractNum>
  <w:abstractNum w:abstractNumId="13">
    <w:nsid w:val="00A85D05"/>
    <w:multiLevelType w:val="multilevel"/>
    <w:tmpl w:val="00A85D05"/>
    <w:lvl w:ilvl="0" w:tentative="0">
      <w:start w:val="1"/>
      <w:numFmt w:val="decimal"/>
      <w:lvlText w:val="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1444663"/>
    <w:multiLevelType w:val="multilevel"/>
    <w:tmpl w:val="01444663"/>
    <w:lvl w:ilvl="0" w:tentative="0">
      <w:start w:val="1"/>
      <w:numFmt w:val="decimal"/>
      <w:lvlText w:val="23.%1"/>
      <w:lvlJc w:val="left"/>
      <w:pPr>
        <w:ind w:left="420" w:hanging="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217A020"/>
    <w:multiLevelType w:val="multilevel"/>
    <w:tmpl w:val="0217A020"/>
    <w:lvl w:ilvl="0" w:tentative="0">
      <w:start w:val="1"/>
      <w:numFmt w:val="decimal"/>
      <w:lvlText w:val="6.%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7950981"/>
    <w:multiLevelType w:val="multilevel"/>
    <w:tmpl w:val="07950981"/>
    <w:lvl w:ilvl="0" w:tentative="0">
      <w:start w:val="1"/>
      <w:numFmt w:val="decimal"/>
      <w:lvlText w:val="20.%1"/>
      <w:lvlJc w:val="left"/>
      <w:pPr>
        <w:ind w:left="420" w:hanging="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07E8E17B"/>
    <w:multiLevelType w:val="multilevel"/>
    <w:tmpl w:val="07E8E17B"/>
    <w:lvl w:ilvl="0" w:tentative="0">
      <w:start w:val="1"/>
      <w:numFmt w:val="decimal"/>
      <w:lvlText w:val="13.2.%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0830384A"/>
    <w:multiLevelType w:val="multilevel"/>
    <w:tmpl w:val="0830384A"/>
    <w:lvl w:ilvl="0" w:tentative="0">
      <w:start w:val="1"/>
      <w:numFmt w:val="decimal"/>
      <w:lvlText w:val="22.%1"/>
      <w:lvlJc w:val="left"/>
      <w:pPr>
        <w:ind w:left="420" w:hanging="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0D267683"/>
    <w:multiLevelType w:val="multilevel"/>
    <w:tmpl w:val="0D267683"/>
    <w:lvl w:ilvl="0" w:tentative="0">
      <w:start w:val="1"/>
      <w:numFmt w:val="decimal"/>
      <w:lvlText w:val="17.%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3235B4A"/>
    <w:multiLevelType w:val="multilevel"/>
    <w:tmpl w:val="13235B4A"/>
    <w:lvl w:ilvl="0" w:tentative="0">
      <w:start w:val="1"/>
      <w:numFmt w:val="decimal"/>
      <w:lvlText w:val="12.2.%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149CBF44"/>
    <w:multiLevelType w:val="singleLevel"/>
    <w:tmpl w:val="149CBF44"/>
    <w:lvl w:ilvl="0" w:tentative="0">
      <w:start w:val="1"/>
      <w:numFmt w:val="bullet"/>
      <w:lvlText w:val=""/>
      <w:lvlJc w:val="left"/>
      <w:pPr>
        <w:ind w:left="420" w:hanging="420"/>
      </w:pPr>
      <w:rPr>
        <w:rFonts w:hint="default" w:ascii="Wingdings" w:hAnsi="Wingdings"/>
      </w:rPr>
    </w:lvl>
  </w:abstractNum>
  <w:abstractNum w:abstractNumId="22">
    <w:nsid w:val="15673C27"/>
    <w:multiLevelType w:val="multilevel"/>
    <w:tmpl w:val="15673C27"/>
    <w:lvl w:ilvl="0" w:tentative="0">
      <w:start w:val="1"/>
      <w:numFmt w:val="decimal"/>
      <w:lvlText w:val="24.%1"/>
      <w:lvlJc w:val="left"/>
      <w:pPr>
        <w:ind w:left="420" w:hanging="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1BA2595D"/>
    <w:multiLevelType w:val="multilevel"/>
    <w:tmpl w:val="1BA2595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1CDC6492"/>
    <w:multiLevelType w:val="multilevel"/>
    <w:tmpl w:val="1CDC6492"/>
    <w:lvl w:ilvl="0" w:tentative="0">
      <w:start w:val="1"/>
      <w:numFmt w:val="chineseCounting"/>
      <w:lvlText w:val="第%1部分"/>
      <w:lvlJc w:val="center"/>
      <w:pPr>
        <w:tabs>
          <w:tab w:val="left" w:pos="425"/>
        </w:tabs>
        <w:ind w:left="0" w:firstLine="340"/>
      </w:pPr>
    </w:lvl>
    <w:lvl w:ilvl="1" w:tentative="0">
      <w:start w:val="1"/>
      <w:numFmt w:val="chineseCounting"/>
      <w:lvlText w:val="第%2章"/>
      <w:lvlJc w:val="center"/>
      <w:pPr>
        <w:tabs>
          <w:tab w:val="left" w:pos="992"/>
        </w:tabs>
        <w:ind w:left="170" w:firstLine="284"/>
      </w:pPr>
    </w:lvl>
    <w:lvl w:ilvl="2" w:tentative="0">
      <w:start w:val="1"/>
      <w:numFmt w:val="chineseCounting"/>
      <w:lvlText w:val="%3、"/>
      <w:lvlJc w:val="left"/>
      <w:pPr>
        <w:tabs>
          <w:tab w:val="left" w:pos="1418"/>
        </w:tabs>
        <w:ind w:left="284" w:firstLine="396"/>
      </w:pPr>
    </w:lvl>
    <w:lvl w:ilvl="3" w:tentative="0">
      <w:start w:val="1"/>
      <w:numFmt w:val="none"/>
      <w:lvlText w:val="%4"/>
      <w:lvlJc w:val="left"/>
      <w:pPr>
        <w:tabs>
          <w:tab w:val="left" w:pos="1984"/>
        </w:tabs>
        <w:ind w:left="0" w:firstLine="284"/>
      </w:pPr>
    </w:lvl>
    <w:lvl w:ilvl="4" w:tentative="0">
      <w:start w:val="1"/>
      <w:numFmt w:val="none"/>
      <w:lvlText w:val="%5"/>
      <w:lvlJc w:val="left"/>
      <w:pPr>
        <w:tabs>
          <w:tab w:val="left" w:pos="2551"/>
        </w:tabs>
        <w:ind w:left="0" w:firstLine="284"/>
      </w:pPr>
    </w:lvl>
    <w:lvl w:ilvl="5" w:tentative="0">
      <w:start w:val="1"/>
      <w:numFmt w:val="none"/>
      <w:lvlText w:val="%6"/>
      <w:lvlJc w:val="left"/>
      <w:pPr>
        <w:tabs>
          <w:tab w:val="left" w:pos="3260"/>
        </w:tabs>
        <w:ind w:left="0" w:firstLine="284"/>
      </w:pPr>
    </w:lvl>
    <w:lvl w:ilvl="6" w:tentative="0">
      <w:start w:val="1"/>
      <w:numFmt w:val="none"/>
      <w:lvlText w:val="%7"/>
      <w:lvlJc w:val="left"/>
      <w:pPr>
        <w:tabs>
          <w:tab w:val="left" w:pos="3827"/>
        </w:tabs>
        <w:ind w:left="0" w:firstLine="284"/>
      </w:pPr>
    </w:lvl>
    <w:lvl w:ilvl="7" w:tentative="0">
      <w:start w:val="1"/>
      <w:numFmt w:val="none"/>
      <w:pStyle w:val="9"/>
      <w:lvlText w:val="%8"/>
      <w:lvlJc w:val="left"/>
      <w:pPr>
        <w:tabs>
          <w:tab w:val="left" w:pos="4394"/>
        </w:tabs>
        <w:ind w:left="0" w:firstLine="284"/>
      </w:pPr>
    </w:lvl>
    <w:lvl w:ilvl="8" w:tentative="0">
      <w:start w:val="1"/>
      <w:numFmt w:val="none"/>
      <w:lvlText w:val="%9"/>
      <w:lvlJc w:val="left"/>
      <w:pPr>
        <w:tabs>
          <w:tab w:val="left" w:pos="5102"/>
        </w:tabs>
        <w:ind w:left="0" w:firstLine="284"/>
      </w:pPr>
    </w:lvl>
  </w:abstractNum>
  <w:abstractNum w:abstractNumId="25">
    <w:nsid w:val="1CE24924"/>
    <w:multiLevelType w:val="multilevel"/>
    <w:tmpl w:val="1CE24924"/>
    <w:lvl w:ilvl="0" w:tentative="0">
      <w:start w:val="1"/>
      <w:numFmt w:val="decimal"/>
      <w:lvlText w:val="22.4.%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6">
    <w:nsid w:val="22F54911"/>
    <w:multiLevelType w:val="multilevel"/>
    <w:tmpl w:val="22F54911"/>
    <w:lvl w:ilvl="0" w:tentative="0">
      <w:start w:val="21"/>
      <w:numFmt w:val="decimal"/>
      <w:lvlText w:val="%1."/>
      <w:lvlJc w:val="left"/>
      <w:pPr>
        <w:ind w:left="420" w:hanging="420"/>
      </w:pPr>
      <w:rPr>
        <w:rFonts w:hint="eastAsia"/>
      </w:rPr>
    </w:lvl>
    <w:lvl w:ilvl="1" w:tentative="0">
      <w:start w:val="3"/>
      <w:numFmt w:val="decimal"/>
      <w:isLgl/>
      <w:lvlText w:val="%1.%2"/>
      <w:lvlJc w:val="left"/>
      <w:pPr>
        <w:ind w:left="828" w:hanging="828"/>
      </w:pPr>
      <w:rPr>
        <w:rFonts w:hint="default"/>
        <w:b w:val="0"/>
      </w:rPr>
    </w:lvl>
    <w:lvl w:ilvl="2" w:tentative="0">
      <w:start w:val="1"/>
      <w:numFmt w:val="decimal"/>
      <w:isLgl/>
      <w:lvlText w:val="%1.%2.%3"/>
      <w:lvlJc w:val="left"/>
      <w:pPr>
        <w:ind w:left="828" w:hanging="828"/>
      </w:pPr>
      <w:rPr>
        <w:rFonts w:hint="default"/>
        <w:b w:val="0"/>
      </w:rPr>
    </w:lvl>
    <w:lvl w:ilvl="3" w:tentative="0">
      <w:start w:val="1"/>
      <w:numFmt w:val="decimal"/>
      <w:isLgl/>
      <w:lvlText w:val="%1.%2.%3.%4"/>
      <w:lvlJc w:val="left"/>
      <w:pPr>
        <w:ind w:left="1080" w:hanging="1080"/>
      </w:pPr>
      <w:rPr>
        <w:rFonts w:hint="default"/>
        <w:b w:val="0"/>
      </w:rPr>
    </w:lvl>
    <w:lvl w:ilvl="4" w:tentative="0">
      <w:start w:val="1"/>
      <w:numFmt w:val="decimal"/>
      <w:isLgl/>
      <w:lvlText w:val="%1.%2.%3.%4.%5"/>
      <w:lvlJc w:val="left"/>
      <w:pPr>
        <w:ind w:left="1080" w:hanging="1080"/>
      </w:pPr>
      <w:rPr>
        <w:rFonts w:hint="default"/>
        <w:b w:val="0"/>
      </w:rPr>
    </w:lvl>
    <w:lvl w:ilvl="5" w:tentative="0">
      <w:start w:val="1"/>
      <w:numFmt w:val="decimal"/>
      <w:isLgl/>
      <w:lvlText w:val="%1.%2.%3.%4.%5.%6"/>
      <w:lvlJc w:val="left"/>
      <w:pPr>
        <w:ind w:left="1440" w:hanging="1440"/>
      </w:pPr>
      <w:rPr>
        <w:rFonts w:hint="default"/>
        <w:b w:val="0"/>
      </w:rPr>
    </w:lvl>
    <w:lvl w:ilvl="6" w:tentative="0">
      <w:start w:val="1"/>
      <w:numFmt w:val="decimal"/>
      <w:isLgl/>
      <w:lvlText w:val="%1.%2.%3.%4.%5.%6.%7"/>
      <w:lvlJc w:val="left"/>
      <w:pPr>
        <w:ind w:left="1440" w:hanging="1440"/>
      </w:pPr>
      <w:rPr>
        <w:rFonts w:hint="default"/>
        <w:b w:val="0"/>
      </w:rPr>
    </w:lvl>
    <w:lvl w:ilvl="7" w:tentative="0">
      <w:start w:val="1"/>
      <w:numFmt w:val="decimal"/>
      <w:isLgl/>
      <w:lvlText w:val="%1.%2.%3.%4.%5.%6.%7.%8"/>
      <w:lvlJc w:val="left"/>
      <w:pPr>
        <w:ind w:left="1800" w:hanging="1800"/>
      </w:pPr>
      <w:rPr>
        <w:rFonts w:hint="default"/>
        <w:b w:val="0"/>
      </w:rPr>
    </w:lvl>
    <w:lvl w:ilvl="8" w:tentative="0">
      <w:start w:val="1"/>
      <w:numFmt w:val="decimal"/>
      <w:isLgl/>
      <w:lvlText w:val="%1.%2.%3.%4.%5.%6.%7.%8.%9"/>
      <w:lvlJc w:val="left"/>
      <w:pPr>
        <w:ind w:left="1800" w:hanging="1800"/>
      </w:pPr>
      <w:rPr>
        <w:rFonts w:hint="default"/>
        <w:b w:val="0"/>
      </w:rPr>
    </w:lvl>
  </w:abstractNum>
  <w:abstractNum w:abstractNumId="27">
    <w:nsid w:val="243E1316"/>
    <w:multiLevelType w:val="multilevel"/>
    <w:tmpl w:val="243E1316"/>
    <w:lvl w:ilvl="0" w:tentative="0">
      <w:start w:val="1"/>
      <w:numFmt w:val="decimal"/>
      <w:lvlText w:val="23.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27605886"/>
    <w:multiLevelType w:val="multilevel"/>
    <w:tmpl w:val="27605886"/>
    <w:lvl w:ilvl="0" w:tentative="0">
      <w:start w:val="1"/>
      <w:numFmt w:val="decimal"/>
      <w:lvlText w:val="1.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290E2A02"/>
    <w:multiLevelType w:val="multilevel"/>
    <w:tmpl w:val="290E2A02"/>
    <w:lvl w:ilvl="0" w:tentative="0">
      <w:start w:val="1"/>
      <w:numFmt w:val="decimal"/>
      <w:lvlText w:val="1.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2A7E69DB"/>
    <w:multiLevelType w:val="multilevel"/>
    <w:tmpl w:val="2A7E69DB"/>
    <w:lvl w:ilvl="0" w:tentative="0">
      <w:start w:val="1"/>
      <w:numFmt w:val="decimal"/>
      <w:lvlText w:val="（%1）"/>
      <w:lvlJc w:val="left"/>
      <w:pPr>
        <w:ind w:left="420" w:hanging="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2A924B95"/>
    <w:multiLevelType w:val="multilevel"/>
    <w:tmpl w:val="2A924B9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2CAC18C2"/>
    <w:multiLevelType w:val="multilevel"/>
    <w:tmpl w:val="2CAC18C2"/>
    <w:lvl w:ilvl="0" w:tentative="0">
      <w:start w:val="1"/>
      <w:numFmt w:val="decimal"/>
      <w:lvlText w:val="21.%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2DC47413"/>
    <w:multiLevelType w:val="multilevel"/>
    <w:tmpl w:val="2DC47413"/>
    <w:lvl w:ilvl="0" w:tentative="0">
      <w:start w:val="1"/>
      <w:numFmt w:val="chineseCounting"/>
      <w:lvlText w:val="第%1部分"/>
      <w:lvlJc w:val="center"/>
      <w:pPr>
        <w:tabs>
          <w:tab w:val="left" w:pos="425"/>
        </w:tabs>
        <w:ind w:left="0" w:firstLine="340"/>
      </w:pPr>
    </w:lvl>
    <w:lvl w:ilvl="1" w:tentative="0">
      <w:start w:val="1"/>
      <w:numFmt w:val="chineseCounting"/>
      <w:lvlText w:val="第%2章"/>
      <w:lvlJc w:val="center"/>
      <w:pPr>
        <w:tabs>
          <w:tab w:val="left" w:pos="992"/>
        </w:tabs>
        <w:ind w:left="170" w:firstLine="284"/>
      </w:pPr>
    </w:lvl>
    <w:lvl w:ilvl="2" w:tentative="0">
      <w:start w:val="1"/>
      <w:numFmt w:val="chineseCounting"/>
      <w:lvlText w:val="%3、"/>
      <w:lvlJc w:val="left"/>
      <w:pPr>
        <w:tabs>
          <w:tab w:val="left" w:pos="1418"/>
        </w:tabs>
        <w:ind w:left="284" w:firstLine="396"/>
      </w:pPr>
    </w:lvl>
    <w:lvl w:ilvl="3" w:tentative="0">
      <w:start w:val="1"/>
      <w:numFmt w:val="none"/>
      <w:lvlText w:val="%4"/>
      <w:lvlJc w:val="left"/>
      <w:pPr>
        <w:tabs>
          <w:tab w:val="left" w:pos="1984"/>
        </w:tabs>
        <w:ind w:left="0" w:firstLine="284"/>
      </w:pPr>
    </w:lvl>
    <w:lvl w:ilvl="4" w:tentative="0">
      <w:start w:val="1"/>
      <w:numFmt w:val="none"/>
      <w:lvlText w:val="%5"/>
      <w:lvlJc w:val="left"/>
      <w:pPr>
        <w:tabs>
          <w:tab w:val="left" w:pos="2551"/>
        </w:tabs>
        <w:ind w:left="0" w:firstLine="284"/>
      </w:pPr>
    </w:lvl>
    <w:lvl w:ilvl="5" w:tentative="0">
      <w:start w:val="1"/>
      <w:numFmt w:val="none"/>
      <w:pStyle w:val="7"/>
      <w:lvlText w:val="%6"/>
      <w:lvlJc w:val="left"/>
      <w:pPr>
        <w:tabs>
          <w:tab w:val="left" w:pos="3260"/>
        </w:tabs>
        <w:ind w:left="0" w:firstLine="284"/>
      </w:pPr>
    </w:lvl>
    <w:lvl w:ilvl="6" w:tentative="0">
      <w:start w:val="1"/>
      <w:numFmt w:val="none"/>
      <w:pStyle w:val="8"/>
      <w:lvlText w:val="%7"/>
      <w:lvlJc w:val="left"/>
      <w:pPr>
        <w:tabs>
          <w:tab w:val="left" w:pos="3827"/>
        </w:tabs>
        <w:ind w:left="0" w:firstLine="284"/>
      </w:pPr>
    </w:lvl>
    <w:lvl w:ilvl="7" w:tentative="0">
      <w:start w:val="1"/>
      <w:numFmt w:val="none"/>
      <w:lvlText w:val="%8"/>
      <w:lvlJc w:val="left"/>
      <w:pPr>
        <w:tabs>
          <w:tab w:val="left" w:pos="4394"/>
        </w:tabs>
        <w:ind w:left="0" w:firstLine="284"/>
      </w:pPr>
    </w:lvl>
    <w:lvl w:ilvl="8" w:tentative="0">
      <w:start w:val="1"/>
      <w:numFmt w:val="none"/>
      <w:lvlText w:val="%9"/>
      <w:lvlJc w:val="left"/>
      <w:pPr>
        <w:tabs>
          <w:tab w:val="left" w:pos="5102"/>
        </w:tabs>
        <w:ind w:left="0" w:firstLine="284"/>
      </w:pPr>
    </w:lvl>
  </w:abstractNum>
  <w:abstractNum w:abstractNumId="34">
    <w:nsid w:val="30E93C79"/>
    <w:multiLevelType w:val="singleLevel"/>
    <w:tmpl w:val="30E93C79"/>
    <w:lvl w:ilvl="0" w:tentative="0">
      <w:start w:val="2"/>
      <w:numFmt w:val="chineseCounting"/>
      <w:suff w:val="space"/>
      <w:lvlText w:val="第%1部分"/>
      <w:lvlJc w:val="left"/>
      <w:rPr>
        <w:rFonts w:hint="eastAsia"/>
      </w:rPr>
    </w:lvl>
  </w:abstractNum>
  <w:abstractNum w:abstractNumId="35">
    <w:nsid w:val="315E1FE0"/>
    <w:multiLevelType w:val="multilevel"/>
    <w:tmpl w:val="315E1FE0"/>
    <w:lvl w:ilvl="0" w:tentative="0">
      <w:start w:val="1"/>
      <w:numFmt w:val="decimal"/>
      <w:lvlText w:val="1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3AA20D55"/>
    <w:multiLevelType w:val="multilevel"/>
    <w:tmpl w:val="3AA20D55"/>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3CE71972"/>
    <w:multiLevelType w:val="multilevel"/>
    <w:tmpl w:val="3CE71972"/>
    <w:lvl w:ilvl="0" w:tentative="0">
      <w:start w:val="2"/>
      <w:numFmt w:val="decimal"/>
      <w:lvlText w:val="%1."/>
      <w:lvlJc w:val="left"/>
      <w:pPr>
        <w:ind w:left="988" w:hanging="420"/>
      </w:pPr>
      <w:rPr>
        <w:rFonts w:hint="eastAsia"/>
      </w:rPr>
    </w:lvl>
    <w:lvl w:ilvl="1" w:tentative="0">
      <w:start w:val="1"/>
      <w:numFmt w:val="decimal"/>
      <w:isLgl/>
      <w:lvlText w:val="%1.%2"/>
      <w:lvlJc w:val="left"/>
      <w:pPr>
        <w:ind w:left="988" w:hanging="420"/>
      </w:pPr>
      <w:rPr>
        <w:rFonts w:hint="default"/>
      </w:rPr>
    </w:lvl>
    <w:lvl w:ilvl="2" w:tentative="0">
      <w:start w:val="1"/>
      <w:numFmt w:val="decimal"/>
      <w:isLgl/>
      <w:lvlText w:val="%1.%2.%3"/>
      <w:lvlJc w:val="left"/>
      <w:pPr>
        <w:ind w:left="1288" w:hanging="720"/>
      </w:pPr>
      <w:rPr>
        <w:rFonts w:hint="default"/>
      </w:rPr>
    </w:lvl>
    <w:lvl w:ilvl="3" w:tentative="0">
      <w:start w:val="1"/>
      <w:numFmt w:val="decimal"/>
      <w:isLgl/>
      <w:lvlText w:val="%1.%2.%3.%4"/>
      <w:lvlJc w:val="left"/>
      <w:pPr>
        <w:ind w:left="1648" w:hanging="1080"/>
      </w:pPr>
      <w:rPr>
        <w:rFonts w:hint="default"/>
      </w:rPr>
    </w:lvl>
    <w:lvl w:ilvl="4" w:tentative="0">
      <w:start w:val="1"/>
      <w:numFmt w:val="decimal"/>
      <w:isLgl/>
      <w:lvlText w:val="%1.%2.%3.%4.%5"/>
      <w:lvlJc w:val="left"/>
      <w:pPr>
        <w:ind w:left="1648" w:hanging="1080"/>
      </w:pPr>
      <w:rPr>
        <w:rFonts w:hint="default"/>
      </w:rPr>
    </w:lvl>
    <w:lvl w:ilvl="5" w:tentative="0">
      <w:start w:val="1"/>
      <w:numFmt w:val="decimal"/>
      <w:isLgl/>
      <w:lvlText w:val="%1.%2.%3.%4.%5.%6"/>
      <w:lvlJc w:val="left"/>
      <w:pPr>
        <w:ind w:left="2008" w:hanging="1440"/>
      </w:pPr>
      <w:rPr>
        <w:rFonts w:hint="default"/>
      </w:rPr>
    </w:lvl>
    <w:lvl w:ilvl="6" w:tentative="0">
      <w:start w:val="1"/>
      <w:numFmt w:val="decimal"/>
      <w:isLgl/>
      <w:lvlText w:val="%1.%2.%3.%4.%5.%6.%7"/>
      <w:lvlJc w:val="left"/>
      <w:pPr>
        <w:ind w:left="2008" w:hanging="1440"/>
      </w:pPr>
      <w:rPr>
        <w:rFonts w:hint="default"/>
      </w:rPr>
    </w:lvl>
    <w:lvl w:ilvl="7" w:tentative="0">
      <w:start w:val="1"/>
      <w:numFmt w:val="decimal"/>
      <w:isLgl/>
      <w:lvlText w:val="%1.%2.%3.%4.%5.%6.%7.%8"/>
      <w:lvlJc w:val="left"/>
      <w:pPr>
        <w:ind w:left="2368" w:hanging="1800"/>
      </w:pPr>
      <w:rPr>
        <w:rFonts w:hint="default"/>
      </w:rPr>
    </w:lvl>
    <w:lvl w:ilvl="8" w:tentative="0">
      <w:start w:val="1"/>
      <w:numFmt w:val="decimal"/>
      <w:isLgl/>
      <w:lvlText w:val="%1.%2.%3.%4.%5.%6.%7.%8.%9"/>
      <w:lvlJc w:val="left"/>
      <w:pPr>
        <w:ind w:left="2368" w:hanging="1800"/>
      </w:pPr>
      <w:rPr>
        <w:rFonts w:hint="default"/>
      </w:rPr>
    </w:lvl>
  </w:abstractNum>
  <w:abstractNum w:abstractNumId="38">
    <w:nsid w:val="3ECA7EDE"/>
    <w:multiLevelType w:val="multilevel"/>
    <w:tmpl w:val="3ECA7EDE"/>
    <w:lvl w:ilvl="0" w:tentative="0">
      <w:start w:val="1"/>
      <w:numFmt w:val="decimal"/>
      <w:pStyle w:val="170"/>
      <w:lvlText w:val="%1."/>
      <w:lvlJc w:val="left"/>
      <w:pPr>
        <w:ind w:left="126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3FCD6523"/>
    <w:multiLevelType w:val="multilevel"/>
    <w:tmpl w:val="3FCD6523"/>
    <w:lvl w:ilvl="0" w:tentative="0">
      <w:start w:val="1"/>
      <w:numFmt w:val="chineseCounting"/>
      <w:lvlText w:val="第%1部分"/>
      <w:lvlJc w:val="center"/>
      <w:pPr>
        <w:tabs>
          <w:tab w:val="left" w:pos="425"/>
        </w:tabs>
        <w:ind w:left="0" w:firstLine="340"/>
      </w:pPr>
    </w:lvl>
    <w:lvl w:ilvl="1" w:tentative="0">
      <w:start w:val="1"/>
      <w:numFmt w:val="chineseCounting"/>
      <w:lvlText w:val="第%2章"/>
      <w:lvlJc w:val="center"/>
      <w:pPr>
        <w:tabs>
          <w:tab w:val="left" w:pos="992"/>
        </w:tabs>
        <w:ind w:left="170" w:firstLine="284"/>
      </w:pPr>
    </w:lvl>
    <w:lvl w:ilvl="2" w:tentative="0">
      <w:start w:val="1"/>
      <w:numFmt w:val="chineseCounting"/>
      <w:lvlText w:val="%3、"/>
      <w:lvlJc w:val="left"/>
      <w:pPr>
        <w:tabs>
          <w:tab w:val="left" w:pos="1418"/>
        </w:tabs>
        <w:ind w:left="284" w:firstLine="396"/>
      </w:pPr>
    </w:lvl>
    <w:lvl w:ilvl="3" w:tentative="0">
      <w:start w:val="1"/>
      <w:numFmt w:val="none"/>
      <w:lvlText w:val="%4"/>
      <w:lvlJc w:val="left"/>
      <w:pPr>
        <w:tabs>
          <w:tab w:val="left" w:pos="1984"/>
        </w:tabs>
        <w:ind w:left="0" w:firstLine="284"/>
      </w:pPr>
    </w:lvl>
    <w:lvl w:ilvl="4" w:tentative="0">
      <w:start w:val="1"/>
      <w:numFmt w:val="none"/>
      <w:pStyle w:val="6"/>
      <w:lvlText w:val="%5"/>
      <w:lvlJc w:val="left"/>
      <w:pPr>
        <w:tabs>
          <w:tab w:val="left" w:pos="2551"/>
        </w:tabs>
        <w:ind w:left="0" w:firstLine="284"/>
      </w:pPr>
    </w:lvl>
    <w:lvl w:ilvl="5" w:tentative="0">
      <w:start w:val="1"/>
      <w:numFmt w:val="none"/>
      <w:lvlText w:val="%6"/>
      <w:lvlJc w:val="left"/>
      <w:pPr>
        <w:tabs>
          <w:tab w:val="left" w:pos="3260"/>
        </w:tabs>
        <w:ind w:left="0" w:firstLine="284"/>
      </w:pPr>
    </w:lvl>
    <w:lvl w:ilvl="6" w:tentative="0">
      <w:start w:val="1"/>
      <w:numFmt w:val="none"/>
      <w:lvlText w:val="%7"/>
      <w:lvlJc w:val="left"/>
      <w:pPr>
        <w:tabs>
          <w:tab w:val="left" w:pos="3827"/>
        </w:tabs>
        <w:ind w:left="0" w:firstLine="284"/>
      </w:pPr>
    </w:lvl>
    <w:lvl w:ilvl="7" w:tentative="0">
      <w:start w:val="1"/>
      <w:numFmt w:val="none"/>
      <w:lvlText w:val="%8"/>
      <w:lvlJc w:val="left"/>
      <w:pPr>
        <w:tabs>
          <w:tab w:val="left" w:pos="4394"/>
        </w:tabs>
        <w:ind w:left="0" w:firstLine="284"/>
      </w:pPr>
    </w:lvl>
    <w:lvl w:ilvl="8" w:tentative="0">
      <w:start w:val="1"/>
      <w:numFmt w:val="none"/>
      <w:lvlText w:val="%9"/>
      <w:lvlJc w:val="left"/>
      <w:pPr>
        <w:tabs>
          <w:tab w:val="left" w:pos="5102"/>
        </w:tabs>
        <w:ind w:left="0" w:firstLine="284"/>
      </w:pPr>
    </w:lvl>
  </w:abstractNum>
  <w:abstractNum w:abstractNumId="40">
    <w:nsid w:val="43EC6FB0"/>
    <w:multiLevelType w:val="multilevel"/>
    <w:tmpl w:val="43EC6FB0"/>
    <w:lvl w:ilvl="0" w:tentative="0">
      <w:start w:val="1"/>
      <w:numFmt w:val="decimal"/>
      <w:lvlText w:val="%1."/>
      <w:lvlJc w:val="left"/>
      <w:pPr>
        <w:ind w:left="420" w:hanging="420"/>
      </w:pPr>
    </w:lvl>
    <w:lvl w:ilvl="1" w:tentative="0">
      <w:start w:val="2"/>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1800" w:hanging="1800"/>
      </w:pPr>
      <w:rPr>
        <w:rFonts w:hint="default"/>
      </w:rPr>
    </w:lvl>
  </w:abstractNum>
  <w:abstractNum w:abstractNumId="41">
    <w:nsid w:val="45547583"/>
    <w:multiLevelType w:val="multilevel"/>
    <w:tmpl w:val="45547583"/>
    <w:lvl w:ilvl="0" w:tentative="0">
      <w:start w:val="1"/>
      <w:numFmt w:val="chineseCounting"/>
      <w:lvlText w:val="第%1部分"/>
      <w:lvlJc w:val="center"/>
      <w:pPr>
        <w:tabs>
          <w:tab w:val="left" w:pos="425"/>
        </w:tabs>
        <w:ind w:left="0" w:firstLine="340"/>
      </w:pPr>
    </w:lvl>
    <w:lvl w:ilvl="1" w:tentative="0">
      <w:start w:val="1"/>
      <w:numFmt w:val="chineseCounting"/>
      <w:lvlText w:val="第%2章"/>
      <w:lvlJc w:val="center"/>
      <w:pPr>
        <w:tabs>
          <w:tab w:val="left" w:pos="992"/>
        </w:tabs>
        <w:ind w:left="170" w:firstLine="284"/>
      </w:pPr>
    </w:lvl>
    <w:lvl w:ilvl="2" w:tentative="0">
      <w:start w:val="1"/>
      <w:numFmt w:val="chineseCounting"/>
      <w:lvlText w:val="%3、"/>
      <w:lvlJc w:val="left"/>
      <w:pPr>
        <w:tabs>
          <w:tab w:val="left" w:pos="1418"/>
        </w:tabs>
        <w:ind w:left="284" w:firstLine="396"/>
      </w:pPr>
    </w:lvl>
    <w:lvl w:ilvl="3" w:tentative="0">
      <w:start w:val="1"/>
      <w:numFmt w:val="none"/>
      <w:lvlText w:val="%4"/>
      <w:lvlJc w:val="left"/>
      <w:pPr>
        <w:tabs>
          <w:tab w:val="left" w:pos="1984"/>
        </w:tabs>
        <w:ind w:left="0" w:firstLine="284"/>
      </w:pPr>
    </w:lvl>
    <w:lvl w:ilvl="4" w:tentative="0">
      <w:start w:val="1"/>
      <w:numFmt w:val="none"/>
      <w:lvlText w:val="%5"/>
      <w:lvlJc w:val="left"/>
      <w:pPr>
        <w:tabs>
          <w:tab w:val="left" w:pos="2551"/>
        </w:tabs>
        <w:ind w:left="0" w:firstLine="284"/>
      </w:pPr>
    </w:lvl>
    <w:lvl w:ilvl="5" w:tentative="0">
      <w:start w:val="1"/>
      <w:numFmt w:val="none"/>
      <w:lvlText w:val="%6"/>
      <w:lvlJc w:val="left"/>
      <w:pPr>
        <w:tabs>
          <w:tab w:val="left" w:pos="3260"/>
        </w:tabs>
        <w:ind w:left="0" w:firstLine="284"/>
      </w:pPr>
    </w:lvl>
    <w:lvl w:ilvl="6" w:tentative="0">
      <w:start w:val="1"/>
      <w:numFmt w:val="none"/>
      <w:lvlText w:val="%7"/>
      <w:lvlJc w:val="left"/>
      <w:pPr>
        <w:tabs>
          <w:tab w:val="left" w:pos="3827"/>
        </w:tabs>
        <w:ind w:left="0" w:firstLine="284"/>
      </w:pPr>
    </w:lvl>
    <w:lvl w:ilvl="7" w:tentative="0">
      <w:start w:val="1"/>
      <w:numFmt w:val="none"/>
      <w:lvlText w:val="%8"/>
      <w:lvlJc w:val="left"/>
      <w:pPr>
        <w:tabs>
          <w:tab w:val="left" w:pos="4394"/>
        </w:tabs>
        <w:ind w:left="0" w:firstLine="284"/>
      </w:pPr>
    </w:lvl>
    <w:lvl w:ilvl="8" w:tentative="0">
      <w:start w:val="1"/>
      <w:numFmt w:val="none"/>
      <w:pStyle w:val="10"/>
      <w:lvlText w:val="%9"/>
      <w:lvlJc w:val="left"/>
      <w:pPr>
        <w:tabs>
          <w:tab w:val="left" w:pos="5102"/>
        </w:tabs>
        <w:ind w:left="0" w:firstLine="284"/>
      </w:pPr>
    </w:lvl>
  </w:abstractNum>
  <w:abstractNum w:abstractNumId="42">
    <w:nsid w:val="466F4344"/>
    <w:multiLevelType w:val="multilevel"/>
    <w:tmpl w:val="466F4344"/>
    <w:lvl w:ilvl="0" w:tentative="0">
      <w:start w:val="1"/>
      <w:numFmt w:val="japaneseCounting"/>
      <w:lvlText w:val="第%1章"/>
      <w:lvlJc w:val="left"/>
      <w:pPr>
        <w:ind w:left="42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47990AFD"/>
    <w:multiLevelType w:val="multilevel"/>
    <w:tmpl w:val="47990AFD"/>
    <w:lvl w:ilvl="0" w:tentative="0">
      <w:start w:val="1"/>
      <w:numFmt w:val="decimal"/>
      <w:lvlText w:val="10.%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49FDEAFF"/>
    <w:multiLevelType w:val="singleLevel"/>
    <w:tmpl w:val="49FDEAFF"/>
    <w:lvl w:ilvl="0" w:tentative="0">
      <w:start w:val="1"/>
      <w:numFmt w:val="bullet"/>
      <w:lvlText w:val=""/>
      <w:lvlJc w:val="left"/>
      <w:pPr>
        <w:ind w:left="420" w:hanging="420"/>
      </w:pPr>
      <w:rPr>
        <w:rFonts w:hint="default" w:ascii="Wingdings" w:hAnsi="Wingdings"/>
      </w:rPr>
    </w:lvl>
  </w:abstractNum>
  <w:abstractNum w:abstractNumId="45">
    <w:nsid w:val="52C22D59"/>
    <w:multiLevelType w:val="multilevel"/>
    <w:tmpl w:val="52C22D59"/>
    <w:lvl w:ilvl="0" w:tentative="0">
      <w:start w:val="1"/>
      <w:numFmt w:val="decimal"/>
      <w:lvlText w:val="4.%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53604C48"/>
    <w:multiLevelType w:val="multilevel"/>
    <w:tmpl w:val="53604C48"/>
    <w:lvl w:ilvl="0" w:tentative="0">
      <w:start w:val="1"/>
      <w:numFmt w:val="decimal"/>
      <w:lvlText w:val="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56135AD5"/>
    <w:multiLevelType w:val="multilevel"/>
    <w:tmpl w:val="56135AD5"/>
    <w:lvl w:ilvl="0" w:tentative="0">
      <w:start w:val="1"/>
      <w:numFmt w:val="decimal"/>
      <w:lvlText w:val="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570C35EA"/>
    <w:multiLevelType w:val="multilevel"/>
    <w:tmpl w:val="570C35EA"/>
    <w:lvl w:ilvl="0" w:tentative="0">
      <w:start w:val="1"/>
      <w:numFmt w:val="decimal"/>
      <w:lvlText w:val="3.%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578F8AEF"/>
    <w:multiLevelType w:val="singleLevel"/>
    <w:tmpl w:val="578F8AEF"/>
    <w:lvl w:ilvl="0" w:tentative="0">
      <w:start w:val="1"/>
      <w:numFmt w:val="decimal"/>
      <w:lvlText w:val="%1."/>
      <w:lvlJc w:val="left"/>
      <w:pPr>
        <w:ind w:left="425" w:hanging="425"/>
      </w:pPr>
      <w:rPr>
        <w:rFonts w:hint="default"/>
      </w:rPr>
    </w:lvl>
  </w:abstractNum>
  <w:abstractNum w:abstractNumId="50">
    <w:nsid w:val="582F9AE1"/>
    <w:multiLevelType w:val="multilevel"/>
    <w:tmpl w:val="582F9AE1"/>
    <w:lvl w:ilvl="0" w:tentative="0">
      <w:start w:val="1"/>
      <w:numFmt w:val="decimal"/>
      <w:lvlText w:val="15.%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591F4034"/>
    <w:multiLevelType w:val="multilevel"/>
    <w:tmpl w:val="591F403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2">
    <w:nsid w:val="5B424EA1"/>
    <w:multiLevelType w:val="multilevel"/>
    <w:tmpl w:val="5B424EA1"/>
    <w:lvl w:ilvl="0" w:tentative="0">
      <w:start w:val="1"/>
      <w:numFmt w:val="decimal"/>
      <w:lvlText w:val="%1."/>
      <w:lvlJc w:val="left"/>
      <w:pPr>
        <w:ind w:left="988" w:hanging="420"/>
      </w:pPr>
      <w:rPr>
        <w:rFonts w:hint="eastAsia"/>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53">
    <w:nsid w:val="5C765F69"/>
    <w:multiLevelType w:val="multilevel"/>
    <w:tmpl w:val="5C765F69"/>
    <w:lvl w:ilvl="0" w:tentative="0">
      <w:start w:val="1"/>
      <w:numFmt w:val="decimal"/>
      <w:lvlText w:val="（%1）"/>
      <w:lvlJc w:val="left"/>
      <w:pPr>
        <w:tabs>
          <w:tab w:val="left" w:pos="1050"/>
        </w:tabs>
        <w:ind w:left="1050" w:hanging="720"/>
      </w:pPr>
      <w:rPr>
        <w:rFonts w:hint="eastAsia"/>
      </w:rPr>
    </w:lvl>
    <w:lvl w:ilvl="1" w:tentative="0">
      <w:start w:val="1"/>
      <w:numFmt w:val="japaneseCounting"/>
      <w:lvlText w:val="第%2章"/>
      <w:lvlJc w:val="left"/>
      <w:pPr>
        <w:tabs>
          <w:tab w:val="left" w:pos="1605"/>
        </w:tabs>
        <w:ind w:left="1605" w:hanging="855"/>
      </w:pPr>
      <w:rPr>
        <w:rFonts w:hint="eastAsia"/>
      </w:rPr>
    </w:lvl>
    <w:lvl w:ilvl="2" w:tentative="0">
      <w:start w:val="11"/>
      <w:numFmt w:val="decimal"/>
      <w:lvlText w:val="%3．"/>
      <w:lvlJc w:val="left"/>
      <w:pPr>
        <w:tabs>
          <w:tab w:val="left" w:pos="1575"/>
        </w:tabs>
        <w:ind w:left="1575" w:hanging="405"/>
      </w:pPr>
      <w:rPr>
        <w:rFonts w:hint="eastAsia"/>
      </w:rPr>
    </w:lvl>
    <w:lvl w:ilvl="3" w:tentative="0">
      <w:start w:val="1"/>
      <w:numFmt w:val="japaneseCounting"/>
      <w:lvlText w:val="%4、"/>
      <w:lvlJc w:val="left"/>
      <w:pPr>
        <w:tabs>
          <w:tab w:val="left" w:pos="2010"/>
        </w:tabs>
        <w:ind w:left="2010" w:hanging="420"/>
      </w:pPr>
      <w:rPr>
        <w:rFonts w:hint="eastAsia"/>
      </w:rPr>
    </w:lvl>
    <w:lvl w:ilvl="4" w:tentative="0">
      <w:start w:val="1"/>
      <w:numFmt w:val="decimal"/>
      <w:lvlText w:val="%5、"/>
      <w:lvlJc w:val="left"/>
      <w:pPr>
        <w:tabs>
          <w:tab w:val="left" w:pos="2370"/>
        </w:tabs>
        <w:ind w:left="2370" w:hanging="360"/>
      </w:pPr>
      <w:rPr>
        <w:rFonts w:hint="eastAsia"/>
      </w:rPr>
    </w:lvl>
    <w:lvl w:ilvl="5" w:tentative="0">
      <w:start w:val="1"/>
      <w:numFmt w:val="lowerRoman"/>
      <w:lvlText w:val="%6."/>
      <w:lvlJc w:val="right"/>
      <w:pPr>
        <w:tabs>
          <w:tab w:val="left" w:pos="2850"/>
        </w:tabs>
        <w:ind w:left="2850" w:hanging="420"/>
      </w:pPr>
    </w:lvl>
    <w:lvl w:ilvl="6" w:tentative="0">
      <w:start w:val="1"/>
      <w:numFmt w:val="decimal"/>
      <w:lvlText w:val="%7."/>
      <w:lvlJc w:val="left"/>
      <w:pPr>
        <w:tabs>
          <w:tab w:val="left" w:pos="3270"/>
        </w:tabs>
        <w:ind w:left="3270" w:hanging="420"/>
      </w:pPr>
    </w:lvl>
    <w:lvl w:ilvl="7" w:tentative="0">
      <w:start w:val="1"/>
      <w:numFmt w:val="lowerLetter"/>
      <w:lvlText w:val="%8)"/>
      <w:lvlJc w:val="left"/>
      <w:pPr>
        <w:tabs>
          <w:tab w:val="left" w:pos="3690"/>
        </w:tabs>
        <w:ind w:left="3690" w:hanging="420"/>
      </w:pPr>
    </w:lvl>
    <w:lvl w:ilvl="8" w:tentative="0">
      <w:start w:val="1"/>
      <w:numFmt w:val="lowerRoman"/>
      <w:lvlText w:val="%9."/>
      <w:lvlJc w:val="right"/>
      <w:pPr>
        <w:tabs>
          <w:tab w:val="left" w:pos="4110"/>
        </w:tabs>
        <w:ind w:left="4110" w:hanging="420"/>
      </w:pPr>
    </w:lvl>
  </w:abstractNum>
  <w:abstractNum w:abstractNumId="54">
    <w:nsid w:val="647A6BCE"/>
    <w:multiLevelType w:val="multilevel"/>
    <w:tmpl w:val="647A6BCE"/>
    <w:lvl w:ilvl="0" w:tentative="0">
      <w:start w:val="1"/>
      <w:numFmt w:val="decimal"/>
      <w:lvlText w:val="1.%1"/>
      <w:lvlJc w:val="left"/>
      <w:pPr>
        <w:tabs>
          <w:tab w:val="left" w:pos="1260"/>
        </w:tabs>
        <w:ind w:left="1260" w:hanging="420"/>
      </w:pPr>
      <w:rPr>
        <w:rFonts w:hint="eastAsia"/>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55">
    <w:nsid w:val="67754624"/>
    <w:multiLevelType w:val="singleLevel"/>
    <w:tmpl w:val="67754624"/>
    <w:lvl w:ilvl="0" w:tentative="0">
      <w:start w:val="1"/>
      <w:numFmt w:val="chineseCounting"/>
      <w:suff w:val="nothing"/>
      <w:lvlText w:val="%1、"/>
      <w:lvlJc w:val="left"/>
      <w:pPr>
        <w:ind w:left="0" w:firstLine="420"/>
      </w:pPr>
      <w:rPr>
        <w:rFonts w:hint="eastAsia"/>
      </w:rPr>
    </w:lvl>
  </w:abstractNum>
  <w:abstractNum w:abstractNumId="56">
    <w:nsid w:val="6E045268"/>
    <w:multiLevelType w:val="multilevel"/>
    <w:tmpl w:val="6E045268"/>
    <w:lvl w:ilvl="0" w:tentative="0">
      <w:start w:val="1"/>
      <w:numFmt w:val="decimal"/>
      <w:lvlText w:val="25.%1"/>
      <w:lvlJc w:val="left"/>
      <w:pPr>
        <w:ind w:left="420" w:hanging="420"/>
      </w:pPr>
      <w:rPr>
        <w:rFonts w:hint="eastAsia" w:cs="Times New Roman"/>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70B116A5"/>
    <w:multiLevelType w:val="multilevel"/>
    <w:tmpl w:val="70B116A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718A0B4A"/>
    <w:multiLevelType w:val="multilevel"/>
    <w:tmpl w:val="718A0B4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9"/>
  </w:num>
  <w:num w:numId="2">
    <w:abstractNumId w:val="33"/>
  </w:num>
  <w:num w:numId="3">
    <w:abstractNumId w:val="24"/>
  </w:num>
  <w:num w:numId="4">
    <w:abstractNumId w:val="41"/>
  </w:num>
  <w:num w:numId="5">
    <w:abstractNumId w:val="38"/>
  </w:num>
  <w:num w:numId="6">
    <w:abstractNumId w:val="40"/>
  </w:num>
  <w:num w:numId="7">
    <w:abstractNumId w:val="36"/>
  </w:num>
  <w:num w:numId="8">
    <w:abstractNumId w:val="46"/>
  </w:num>
  <w:num w:numId="9">
    <w:abstractNumId w:val="28"/>
  </w:num>
  <w:num w:numId="10">
    <w:abstractNumId w:val="29"/>
  </w:num>
  <w:num w:numId="11">
    <w:abstractNumId w:val="57"/>
  </w:num>
  <w:num w:numId="12">
    <w:abstractNumId w:val="8"/>
  </w:num>
  <w:num w:numId="13">
    <w:abstractNumId w:val="48"/>
  </w:num>
  <w:num w:numId="14">
    <w:abstractNumId w:val="45"/>
  </w:num>
  <w:num w:numId="15">
    <w:abstractNumId w:val="15"/>
  </w:num>
  <w:num w:numId="16">
    <w:abstractNumId w:val="6"/>
  </w:num>
  <w:num w:numId="17">
    <w:abstractNumId w:val="53"/>
  </w:num>
  <w:num w:numId="18">
    <w:abstractNumId w:val="5"/>
  </w:num>
  <w:num w:numId="19">
    <w:abstractNumId w:val="43"/>
  </w:num>
  <w:num w:numId="20">
    <w:abstractNumId w:val="47"/>
  </w:num>
  <w:num w:numId="21">
    <w:abstractNumId w:val="20"/>
  </w:num>
  <w:num w:numId="22">
    <w:abstractNumId w:val="2"/>
  </w:num>
  <w:num w:numId="23">
    <w:abstractNumId w:val="35"/>
  </w:num>
  <w:num w:numId="24">
    <w:abstractNumId w:val="17"/>
  </w:num>
  <w:num w:numId="25">
    <w:abstractNumId w:val="50"/>
  </w:num>
  <w:num w:numId="26">
    <w:abstractNumId w:val="10"/>
  </w:num>
  <w:num w:numId="27">
    <w:abstractNumId w:val="19"/>
  </w:num>
  <w:num w:numId="28">
    <w:abstractNumId w:val="16"/>
  </w:num>
  <w:num w:numId="29">
    <w:abstractNumId w:val="26"/>
  </w:num>
  <w:num w:numId="30">
    <w:abstractNumId w:val="32"/>
  </w:num>
  <w:num w:numId="31">
    <w:abstractNumId w:val="18"/>
  </w:num>
  <w:num w:numId="32">
    <w:abstractNumId w:val="58"/>
  </w:num>
  <w:num w:numId="33">
    <w:abstractNumId w:val="25"/>
  </w:num>
  <w:num w:numId="34">
    <w:abstractNumId w:val="14"/>
  </w:num>
  <w:num w:numId="35">
    <w:abstractNumId w:val="27"/>
  </w:num>
  <w:num w:numId="36">
    <w:abstractNumId w:val="23"/>
  </w:num>
  <w:num w:numId="37">
    <w:abstractNumId w:val="22"/>
  </w:num>
  <w:num w:numId="38">
    <w:abstractNumId w:val="56"/>
  </w:num>
  <w:num w:numId="39">
    <w:abstractNumId w:val="55"/>
  </w:num>
  <w:num w:numId="40">
    <w:abstractNumId w:val="12"/>
  </w:num>
  <w:num w:numId="41">
    <w:abstractNumId w:val="52"/>
  </w:num>
  <w:num w:numId="42">
    <w:abstractNumId w:val="3"/>
  </w:num>
  <w:num w:numId="43">
    <w:abstractNumId w:val="51"/>
  </w:num>
  <w:num w:numId="44">
    <w:abstractNumId w:val="11"/>
  </w:num>
  <w:num w:numId="45">
    <w:abstractNumId w:val="1"/>
  </w:num>
  <w:num w:numId="46">
    <w:abstractNumId w:val="54"/>
  </w:num>
  <w:num w:numId="47">
    <w:abstractNumId w:val="37"/>
  </w:num>
  <w:num w:numId="48">
    <w:abstractNumId w:val="49"/>
  </w:num>
  <w:num w:numId="49">
    <w:abstractNumId w:val="34"/>
  </w:num>
  <w:num w:numId="50">
    <w:abstractNumId w:val="9"/>
  </w:num>
  <w:num w:numId="51">
    <w:abstractNumId w:val="21"/>
  </w:num>
  <w:num w:numId="52">
    <w:abstractNumId w:val="4"/>
  </w:num>
  <w:num w:numId="53">
    <w:abstractNumId w:val="44"/>
  </w:num>
  <w:num w:numId="54">
    <w:abstractNumId w:val="42"/>
  </w:num>
  <w:num w:numId="55">
    <w:abstractNumId w:val="31"/>
  </w:num>
  <w:num w:numId="56">
    <w:abstractNumId w:val="0"/>
  </w:num>
  <w:num w:numId="57">
    <w:abstractNumId w:val="7"/>
  </w:num>
  <w:num w:numId="58">
    <w:abstractNumId w:val="13"/>
  </w:num>
  <w:num w:numId="5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mMGFlZGIwZDVjZGE3MTA3ZDQ3MTU5ZjEyNTRmZTYifQ=="/>
  </w:docVars>
  <w:rsids>
    <w:rsidRoot w:val="00CC338E"/>
    <w:rsid w:val="0000022A"/>
    <w:rsid w:val="0000087E"/>
    <w:rsid w:val="00001362"/>
    <w:rsid w:val="000013B4"/>
    <w:rsid w:val="00001D91"/>
    <w:rsid w:val="00001F1C"/>
    <w:rsid w:val="00002915"/>
    <w:rsid w:val="00003467"/>
    <w:rsid w:val="00003569"/>
    <w:rsid w:val="00003902"/>
    <w:rsid w:val="00003F26"/>
    <w:rsid w:val="0000412D"/>
    <w:rsid w:val="00004250"/>
    <w:rsid w:val="0000548E"/>
    <w:rsid w:val="0000569F"/>
    <w:rsid w:val="00005846"/>
    <w:rsid w:val="00006583"/>
    <w:rsid w:val="00006784"/>
    <w:rsid w:val="0000688B"/>
    <w:rsid w:val="00007AAF"/>
    <w:rsid w:val="00011386"/>
    <w:rsid w:val="000121A4"/>
    <w:rsid w:val="00012869"/>
    <w:rsid w:val="00012AA5"/>
    <w:rsid w:val="00014545"/>
    <w:rsid w:val="000146A4"/>
    <w:rsid w:val="00015497"/>
    <w:rsid w:val="00015848"/>
    <w:rsid w:val="00015E8E"/>
    <w:rsid w:val="00016C97"/>
    <w:rsid w:val="00016CEF"/>
    <w:rsid w:val="00016CF5"/>
    <w:rsid w:val="00016F0E"/>
    <w:rsid w:val="0001749B"/>
    <w:rsid w:val="00017ECB"/>
    <w:rsid w:val="00020379"/>
    <w:rsid w:val="00020685"/>
    <w:rsid w:val="0002084D"/>
    <w:rsid w:val="0002124A"/>
    <w:rsid w:val="00021544"/>
    <w:rsid w:val="00021716"/>
    <w:rsid w:val="0002215A"/>
    <w:rsid w:val="0002244F"/>
    <w:rsid w:val="000226EB"/>
    <w:rsid w:val="000228D0"/>
    <w:rsid w:val="00023BE9"/>
    <w:rsid w:val="0002463C"/>
    <w:rsid w:val="000248B0"/>
    <w:rsid w:val="00024E07"/>
    <w:rsid w:val="00025777"/>
    <w:rsid w:val="000262F6"/>
    <w:rsid w:val="00026574"/>
    <w:rsid w:val="00026EF8"/>
    <w:rsid w:val="00030357"/>
    <w:rsid w:val="00030393"/>
    <w:rsid w:val="000303E1"/>
    <w:rsid w:val="000307FA"/>
    <w:rsid w:val="00031F6C"/>
    <w:rsid w:val="0003224A"/>
    <w:rsid w:val="00032EC0"/>
    <w:rsid w:val="000338A4"/>
    <w:rsid w:val="00033A3B"/>
    <w:rsid w:val="00033BF5"/>
    <w:rsid w:val="00033C8F"/>
    <w:rsid w:val="00033EF8"/>
    <w:rsid w:val="000355AC"/>
    <w:rsid w:val="00035B80"/>
    <w:rsid w:val="0003632E"/>
    <w:rsid w:val="00036B06"/>
    <w:rsid w:val="00036D5E"/>
    <w:rsid w:val="00037281"/>
    <w:rsid w:val="000376BD"/>
    <w:rsid w:val="000378DF"/>
    <w:rsid w:val="00037C17"/>
    <w:rsid w:val="00040537"/>
    <w:rsid w:val="00041B10"/>
    <w:rsid w:val="00041D89"/>
    <w:rsid w:val="00042A84"/>
    <w:rsid w:val="000433A5"/>
    <w:rsid w:val="00043E2E"/>
    <w:rsid w:val="0004418F"/>
    <w:rsid w:val="000448AE"/>
    <w:rsid w:val="000463A5"/>
    <w:rsid w:val="00046A38"/>
    <w:rsid w:val="00046CA0"/>
    <w:rsid w:val="00046E1D"/>
    <w:rsid w:val="000472EE"/>
    <w:rsid w:val="00047D08"/>
    <w:rsid w:val="000500A5"/>
    <w:rsid w:val="000505F0"/>
    <w:rsid w:val="000508B2"/>
    <w:rsid w:val="000514BA"/>
    <w:rsid w:val="000515F7"/>
    <w:rsid w:val="00051608"/>
    <w:rsid w:val="000524E9"/>
    <w:rsid w:val="000526E7"/>
    <w:rsid w:val="00052ABC"/>
    <w:rsid w:val="00052EBC"/>
    <w:rsid w:val="000533B6"/>
    <w:rsid w:val="00053613"/>
    <w:rsid w:val="00053F85"/>
    <w:rsid w:val="00054761"/>
    <w:rsid w:val="00055011"/>
    <w:rsid w:val="000561AA"/>
    <w:rsid w:val="00056AAA"/>
    <w:rsid w:val="00056DA9"/>
    <w:rsid w:val="00056DD3"/>
    <w:rsid w:val="000574CE"/>
    <w:rsid w:val="00057ED5"/>
    <w:rsid w:val="00060316"/>
    <w:rsid w:val="000618F3"/>
    <w:rsid w:val="00061C8E"/>
    <w:rsid w:val="00061D43"/>
    <w:rsid w:val="000620EB"/>
    <w:rsid w:val="000623DB"/>
    <w:rsid w:val="0006267C"/>
    <w:rsid w:val="000626C6"/>
    <w:rsid w:val="00062D28"/>
    <w:rsid w:val="00062ECA"/>
    <w:rsid w:val="00063D4B"/>
    <w:rsid w:val="0006429A"/>
    <w:rsid w:val="00064618"/>
    <w:rsid w:val="000654AF"/>
    <w:rsid w:val="00067312"/>
    <w:rsid w:val="00067A48"/>
    <w:rsid w:val="00070B00"/>
    <w:rsid w:val="00071959"/>
    <w:rsid w:val="00072334"/>
    <w:rsid w:val="000725FF"/>
    <w:rsid w:val="000729B5"/>
    <w:rsid w:val="00072FE5"/>
    <w:rsid w:val="000730A0"/>
    <w:rsid w:val="0007333A"/>
    <w:rsid w:val="0007366E"/>
    <w:rsid w:val="00073CAF"/>
    <w:rsid w:val="00074614"/>
    <w:rsid w:val="00074A2E"/>
    <w:rsid w:val="00075CC8"/>
    <w:rsid w:val="00075D6D"/>
    <w:rsid w:val="00076E38"/>
    <w:rsid w:val="00077202"/>
    <w:rsid w:val="00077785"/>
    <w:rsid w:val="00077BEB"/>
    <w:rsid w:val="00077CAC"/>
    <w:rsid w:val="00077E9A"/>
    <w:rsid w:val="000801AA"/>
    <w:rsid w:val="00080BC4"/>
    <w:rsid w:val="00081476"/>
    <w:rsid w:val="00081E0D"/>
    <w:rsid w:val="00082D6F"/>
    <w:rsid w:val="00083734"/>
    <w:rsid w:val="00083AC7"/>
    <w:rsid w:val="00083BE4"/>
    <w:rsid w:val="00083ED6"/>
    <w:rsid w:val="000840E1"/>
    <w:rsid w:val="000842F8"/>
    <w:rsid w:val="00084D37"/>
    <w:rsid w:val="0008557C"/>
    <w:rsid w:val="00085C41"/>
    <w:rsid w:val="00085C9D"/>
    <w:rsid w:val="00085F80"/>
    <w:rsid w:val="0008618E"/>
    <w:rsid w:val="000862C4"/>
    <w:rsid w:val="00086BB5"/>
    <w:rsid w:val="00090120"/>
    <w:rsid w:val="00090A81"/>
    <w:rsid w:val="00090E4C"/>
    <w:rsid w:val="00091066"/>
    <w:rsid w:val="00091614"/>
    <w:rsid w:val="000928CD"/>
    <w:rsid w:val="00092915"/>
    <w:rsid w:val="00092C6D"/>
    <w:rsid w:val="00092C8A"/>
    <w:rsid w:val="00093487"/>
    <w:rsid w:val="00093E87"/>
    <w:rsid w:val="00094030"/>
    <w:rsid w:val="000946CF"/>
    <w:rsid w:val="00094AC8"/>
    <w:rsid w:val="00095084"/>
    <w:rsid w:val="00096379"/>
    <w:rsid w:val="000970CA"/>
    <w:rsid w:val="0009715D"/>
    <w:rsid w:val="000A0BB4"/>
    <w:rsid w:val="000A0D4A"/>
    <w:rsid w:val="000A1112"/>
    <w:rsid w:val="000A1A4D"/>
    <w:rsid w:val="000A2378"/>
    <w:rsid w:val="000A26B8"/>
    <w:rsid w:val="000A28CF"/>
    <w:rsid w:val="000A2D5C"/>
    <w:rsid w:val="000A32A6"/>
    <w:rsid w:val="000A3DD0"/>
    <w:rsid w:val="000A64F9"/>
    <w:rsid w:val="000A76A9"/>
    <w:rsid w:val="000A7A47"/>
    <w:rsid w:val="000B0C2A"/>
    <w:rsid w:val="000B1798"/>
    <w:rsid w:val="000B33CD"/>
    <w:rsid w:val="000B3583"/>
    <w:rsid w:val="000B39EC"/>
    <w:rsid w:val="000B3DA6"/>
    <w:rsid w:val="000B3E54"/>
    <w:rsid w:val="000B3E6B"/>
    <w:rsid w:val="000B4B19"/>
    <w:rsid w:val="000B5DD9"/>
    <w:rsid w:val="000B5E2C"/>
    <w:rsid w:val="000B6361"/>
    <w:rsid w:val="000B645C"/>
    <w:rsid w:val="000B6A3D"/>
    <w:rsid w:val="000B75C9"/>
    <w:rsid w:val="000B7E78"/>
    <w:rsid w:val="000C0325"/>
    <w:rsid w:val="000C064A"/>
    <w:rsid w:val="000C0A8D"/>
    <w:rsid w:val="000C142B"/>
    <w:rsid w:val="000C2940"/>
    <w:rsid w:val="000C2BB1"/>
    <w:rsid w:val="000C2C45"/>
    <w:rsid w:val="000C2E8A"/>
    <w:rsid w:val="000C2FE8"/>
    <w:rsid w:val="000C34BC"/>
    <w:rsid w:val="000C3920"/>
    <w:rsid w:val="000C4BDD"/>
    <w:rsid w:val="000C4C79"/>
    <w:rsid w:val="000C5939"/>
    <w:rsid w:val="000C6B72"/>
    <w:rsid w:val="000C6CE9"/>
    <w:rsid w:val="000C7111"/>
    <w:rsid w:val="000D05C4"/>
    <w:rsid w:val="000D09CC"/>
    <w:rsid w:val="000D0C51"/>
    <w:rsid w:val="000D15BE"/>
    <w:rsid w:val="000D1A88"/>
    <w:rsid w:val="000D1BCC"/>
    <w:rsid w:val="000D2A65"/>
    <w:rsid w:val="000D2EE5"/>
    <w:rsid w:val="000D325E"/>
    <w:rsid w:val="000D3C1E"/>
    <w:rsid w:val="000D5C11"/>
    <w:rsid w:val="000D6E17"/>
    <w:rsid w:val="000D6F55"/>
    <w:rsid w:val="000D7429"/>
    <w:rsid w:val="000D7C19"/>
    <w:rsid w:val="000E0B45"/>
    <w:rsid w:val="000E0D28"/>
    <w:rsid w:val="000E1434"/>
    <w:rsid w:val="000E1A1C"/>
    <w:rsid w:val="000E1EE3"/>
    <w:rsid w:val="000E304A"/>
    <w:rsid w:val="000E3993"/>
    <w:rsid w:val="000E3A60"/>
    <w:rsid w:val="000E3AB5"/>
    <w:rsid w:val="000E3C02"/>
    <w:rsid w:val="000E3FB5"/>
    <w:rsid w:val="000E4631"/>
    <w:rsid w:val="000E4993"/>
    <w:rsid w:val="000E4B80"/>
    <w:rsid w:val="000E4EBC"/>
    <w:rsid w:val="000E4FCE"/>
    <w:rsid w:val="000E56CD"/>
    <w:rsid w:val="000E5FEB"/>
    <w:rsid w:val="000E6548"/>
    <w:rsid w:val="000E71FC"/>
    <w:rsid w:val="000E7A48"/>
    <w:rsid w:val="000F0D36"/>
    <w:rsid w:val="000F1C2D"/>
    <w:rsid w:val="000F33D1"/>
    <w:rsid w:val="000F424E"/>
    <w:rsid w:val="000F44C9"/>
    <w:rsid w:val="000F4B69"/>
    <w:rsid w:val="000F4DEA"/>
    <w:rsid w:val="000F609E"/>
    <w:rsid w:val="000F6CA3"/>
    <w:rsid w:val="000F7DB8"/>
    <w:rsid w:val="00100688"/>
    <w:rsid w:val="00100E7C"/>
    <w:rsid w:val="00101683"/>
    <w:rsid w:val="00101801"/>
    <w:rsid w:val="00101C41"/>
    <w:rsid w:val="00102DC5"/>
    <w:rsid w:val="001039D6"/>
    <w:rsid w:val="00103B60"/>
    <w:rsid w:val="00103F2B"/>
    <w:rsid w:val="0010414E"/>
    <w:rsid w:val="00104F5D"/>
    <w:rsid w:val="001050BD"/>
    <w:rsid w:val="001054D1"/>
    <w:rsid w:val="001056BF"/>
    <w:rsid w:val="00105AC9"/>
    <w:rsid w:val="001060F9"/>
    <w:rsid w:val="00106DA0"/>
    <w:rsid w:val="00107CBB"/>
    <w:rsid w:val="001104EA"/>
    <w:rsid w:val="00110A4B"/>
    <w:rsid w:val="00110D1B"/>
    <w:rsid w:val="00110F4C"/>
    <w:rsid w:val="0011102A"/>
    <w:rsid w:val="0011158B"/>
    <w:rsid w:val="00111BBD"/>
    <w:rsid w:val="00111E11"/>
    <w:rsid w:val="00112426"/>
    <w:rsid w:val="00112A61"/>
    <w:rsid w:val="00113400"/>
    <w:rsid w:val="001152EB"/>
    <w:rsid w:val="00115796"/>
    <w:rsid w:val="00115F45"/>
    <w:rsid w:val="0011674C"/>
    <w:rsid w:val="00116BF9"/>
    <w:rsid w:val="00117BCF"/>
    <w:rsid w:val="00117F7C"/>
    <w:rsid w:val="001201E9"/>
    <w:rsid w:val="00120512"/>
    <w:rsid w:val="00120730"/>
    <w:rsid w:val="00120765"/>
    <w:rsid w:val="00121757"/>
    <w:rsid w:val="00121C89"/>
    <w:rsid w:val="0012216E"/>
    <w:rsid w:val="001227F3"/>
    <w:rsid w:val="001233BE"/>
    <w:rsid w:val="00123455"/>
    <w:rsid w:val="0012367C"/>
    <w:rsid w:val="00123875"/>
    <w:rsid w:val="001241E1"/>
    <w:rsid w:val="00124214"/>
    <w:rsid w:val="00125267"/>
    <w:rsid w:val="001279B6"/>
    <w:rsid w:val="0013076E"/>
    <w:rsid w:val="00131341"/>
    <w:rsid w:val="0013171E"/>
    <w:rsid w:val="00131ED1"/>
    <w:rsid w:val="00132047"/>
    <w:rsid w:val="0013246D"/>
    <w:rsid w:val="0013270C"/>
    <w:rsid w:val="00132B59"/>
    <w:rsid w:val="00133529"/>
    <w:rsid w:val="00133D19"/>
    <w:rsid w:val="00134246"/>
    <w:rsid w:val="00135370"/>
    <w:rsid w:val="001360D6"/>
    <w:rsid w:val="0013641A"/>
    <w:rsid w:val="0013685C"/>
    <w:rsid w:val="00136E96"/>
    <w:rsid w:val="00137363"/>
    <w:rsid w:val="0013760D"/>
    <w:rsid w:val="00140544"/>
    <w:rsid w:val="00140612"/>
    <w:rsid w:val="00140808"/>
    <w:rsid w:val="00141D48"/>
    <w:rsid w:val="00141F3A"/>
    <w:rsid w:val="001427EB"/>
    <w:rsid w:val="001438B1"/>
    <w:rsid w:val="0014403C"/>
    <w:rsid w:val="00144836"/>
    <w:rsid w:val="00144B76"/>
    <w:rsid w:val="00144D1D"/>
    <w:rsid w:val="001455AA"/>
    <w:rsid w:val="0014566C"/>
    <w:rsid w:val="00145778"/>
    <w:rsid w:val="00146D2B"/>
    <w:rsid w:val="0014750A"/>
    <w:rsid w:val="001479A8"/>
    <w:rsid w:val="00147DFE"/>
    <w:rsid w:val="001505BB"/>
    <w:rsid w:val="00151F0D"/>
    <w:rsid w:val="00153266"/>
    <w:rsid w:val="0015326C"/>
    <w:rsid w:val="00153369"/>
    <w:rsid w:val="00154B00"/>
    <w:rsid w:val="00154EFC"/>
    <w:rsid w:val="001561E8"/>
    <w:rsid w:val="00156306"/>
    <w:rsid w:val="001568DF"/>
    <w:rsid w:val="00156CFA"/>
    <w:rsid w:val="001573CF"/>
    <w:rsid w:val="0016124C"/>
    <w:rsid w:val="00161913"/>
    <w:rsid w:val="00161CC5"/>
    <w:rsid w:val="00161DB7"/>
    <w:rsid w:val="00162159"/>
    <w:rsid w:val="00162AD3"/>
    <w:rsid w:val="00163A77"/>
    <w:rsid w:val="00163C0D"/>
    <w:rsid w:val="001647A6"/>
    <w:rsid w:val="00164FE5"/>
    <w:rsid w:val="00164FF9"/>
    <w:rsid w:val="0016518B"/>
    <w:rsid w:val="00165384"/>
    <w:rsid w:val="00165424"/>
    <w:rsid w:val="00165A24"/>
    <w:rsid w:val="00165CA3"/>
    <w:rsid w:val="00165EC8"/>
    <w:rsid w:val="00166165"/>
    <w:rsid w:val="00166860"/>
    <w:rsid w:val="00166888"/>
    <w:rsid w:val="00166A29"/>
    <w:rsid w:val="00166A2C"/>
    <w:rsid w:val="00166BC8"/>
    <w:rsid w:val="00166F92"/>
    <w:rsid w:val="0016763B"/>
    <w:rsid w:val="001702C3"/>
    <w:rsid w:val="00170683"/>
    <w:rsid w:val="001706CD"/>
    <w:rsid w:val="00170BFE"/>
    <w:rsid w:val="00170DFB"/>
    <w:rsid w:val="0017184D"/>
    <w:rsid w:val="001718A8"/>
    <w:rsid w:val="00172D80"/>
    <w:rsid w:val="00172E80"/>
    <w:rsid w:val="00173067"/>
    <w:rsid w:val="00173252"/>
    <w:rsid w:val="0017375C"/>
    <w:rsid w:val="001738D8"/>
    <w:rsid w:val="001748BA"/>
    <w:rsid w:val="00174A9B"/>
    <w:rsid w:val="001753B0"/>
    <w:rsid w:val="00175D1C"/>
    <w:rsid w:val="00175D7A"/>
    <w:rsid w:val="00177234"/>
    <w:rsid w:val="001772DB"/>
    <w:rsid w:val="001773AA"/>
    <w:rsid w:val="001779E1"/>
    <w:rsid w:val="00177A64"/>
    <w:rsid w:val="001804A6"/>
    <w:rsid w:val="00181096"/>
    <w:rsid w:val="00181628"/>
    <w:rsid w:val="00182259"/>
    <w:rsid w:val="001825DB"/>
    <w:rsid w:val="00182B0F"/>
    <w:rsid w:val="00182D22"/>
    <w:rsid w:val="00182E4F"/>
    <w:rsid w:val="00182F7C"/>
    <w:rsid w:val="0018326F"/>
    <w:rsid w:val="001832E6"/>
    <w:rsid w:val="001833E3"/>
    <w:rsid w:val="00183D34"/>
    <w:rsid w:val="00183EDC"/>
    <w:rsid w:val="00184282"/>
    <w:rsid w:val="0018428F"/>
    <w:rsid w:val="0018437F"/>
    <w:rsid w:val="00184B94"/>
    <w:rsid w:val="00184E11"/>
    <w:rsid w:val="00185CF8"/>
    <w:rsid w:val="00186186"/>
    <w:rsid w:val="00186B12"/>
    <w:rsid w:val="00186B9E"/>
    <w:rsid w:val="00186C87"/>
    <w:rsid w:val="00187177"/>
    <w:rsid w:val="00187B8F"/>
    <w:rsid w:val="00187D1E"/>
    <w:rsid w:val="00187EAA"/>
    <w:rsid w:val="001900E3"/>
    <w:rsid w:val="001901F7"/>
    <w:rsid w:val="00190236"/>
    <w:rsid w:val="0019235E"/>
    <w:rsid w:val="00193736"/>
    <w:rsid w:val="001937C7"/>
    <w:rsid w:val="00193C5D"/>
    <w:rsid w:val="001945DC"/>
    <w:rsid w:val="001946FB"/>
    <w:rsid w:val="00194B1C"/>
    <w:rsid w:val="00194B51"/>
    <w:rsid w:val="00195276"/>
    <w:rsid w:val="00195C00"/>
    <w:rsid w:val="00195D63"/>
    <w:rsid w:val="00197B89"/>
    <w:rsid w:val="00197C02"/>
    <w:rsid w:val="00197C6C"/>
    <w:rsid w:val="001A0C8C"/>
    <w:rsid w:val="001A153B"/>
    <w:rsid w:val="001A165E"/>
    <w:rsid w:val="001A2C5F"/>
    <w:rsid w:val="001A35C1"/>
    <w:rsid w:val="001A3AA9"/>
    <w:rsid w:val="001A3F85"/>
    <w:rsid w:val="001A480A"/>
    <w:rsid w:val="001A526F"/>
    <w:rsid w:val="001A58FD"/>
    <w:rsid w:val="001A6D94"/>
    <w:rsid w:val="001B0989"/>
    <w:rsid w:val="001B1496"/>
    <w:rsid w:val="001B1A3A"/>
    <w:rsid w:val="001B1FC1"/>
    <w:rsid w:val="001B222A"/>
    <w:rsid w:val="001B2535"/>
    <w:rsid w:val="001B25C8"/>
    <w:rsid w:val="001B3013"/>
    <w:rsid w:val="001B441A"/>
    <w:rsid w:val="001B5CB0"/>
    <w:rsid w:val="001B5F6E"/>
    <w:rsid w:val="001B6718"/>
    <w:rsid w:val="001B6CB5"/>
    <w:rsid w:val="001C06EB"/>
    <w:rsid w:val="001C0FBB"/>
    <w:rsid w:val="001C113E"/>
    <w:rsid w:val="001C1CF2"/>
    <w:rsid w:val="001C3140"/>
    <w:rsid w:val="001C4E94"/>
    <w:rsid w:val="001C50A4"/>
    <w:rsid w:val="001C5175"/>
    <w:rsid w:val="001C51D2"/>
    <w:rsid w:val="001C56F7"/>
    <w:rsid w:val="001C5893"/>
    <w:rsid w:val="001C607B"/>
    <w:rsid w:val="001C6C08"/>
    <w:rsid w:val="001C7031"/>
    <w:rsid w:val="001C70AC"/>
    <w:rsid w:val="001C73BE"/>
    <w:rsid w:val="001C77B0"/>
    <w:rsid w:val="001C7809"/>
    <w:rsid w:val="001D0805"/>
    <w:rsid w:val="001D0959"/>
    <w:rsid w:val="001D1268"/>
    <w:rsid w:val="001D1918"/>
    <w:rsid w:val="001D2DF0"/>
    <w:rsid w:val="001D2EE6"/>
    <w:rsid w:val="001D3100"/>
    <w:rsid w:val="001D3DE7"/>
    <w:rsid w:val="001D53EC"/>
    <w:rsid w:val="001D5EF1"/>
    <w:rsid w:val="001D7EED"/>
    <w:rsid w:val="001E10F4"/>
    <w:rsid w:val="001E138A"/>
    <w:rsid w:val="001E1933"/>
    <w:rsid w:val="001E3B55"/>
    <w:rsid w:val="001E450D"/>
    <w:rsid w:val="001E65B7"/>
    <w:rsid w:val="001E6631"/>
    <w:rsid w:val="001E6919"/>
    <w:rsid w:val="001E6DB7"/>
    <w:rsid w:val="001E6F08"/>
    <w:rsid w:val="001E70F2"/>
    <w:rsid w:val="001E75E7"/>
    <w:rsid w:val="001E76E3"/>
    <w:rsid w:val="001E7A11"/>
    <w:rsid w:val="001E7B94"/>
    <w:rsid w:val="001E7BEF"/>
    <w:rsid w:val="001E7FBC"/>
    <w:rsid w:val="001F0443"/>
    <w:rsid w:val="001F0D77"/>
    <w:rsid w:val="001F1840"/>
    <w:rsid w:val="001F18DB"/>
    <w:rsid w:val="001F198D"/>
    <w:rsid w:val="001F2297"/>
    <w:rsid w:val="001F2B42"/>
    <w:rsid w:val="001F320B"/>
    <w:rsid w:val="001F361C"/>
    <w:rsid w:val="001F44DC"/>
    <w:rsid w:val="001F562D"/>
    <w:rsid w:val="001F576C"/>
    <w:rsid w:val="001F5B18"/>
    <w:rsid w:val="001F63AD"/>
    <w:rsid w:val="001F69DB"/>
    <w:rsid w:val="001F69E9"/>
    <w:rsid w:val="001F6FDE"/>
    <w:rsid w:val="001F74D2"/>
    <w:rsid w:val="001F7B3C"/>
    <w:rsid w:val="001F7CDA"/>
    <w:rsid w:val="00200346"/>
    <w:rsid w:val="00200C24"/>
    <w:rsid w:val="00200FB6"/>
    <w:rsid w:val="00201767"/>
    <w:rsid w:val="0020194B"/>
    <w:rsid w:val="00202933"/>
    <w:rsid w:val="00202F19"/>
    <w:rsid w:val="00203B31"/>
    <w:rsid w:val="00203BB2"/>
    <w:rsid w:val="00204714"/>
    <w:rsid w:val="0020558A"/>
    <w:rsid w:val="002055BE"/>
    <w:rsid w:val="00205837"/>
    <w:rsid w:val="00205CDA"/>
    <w:rsid w:val="002064B0"/>
    <w:rsid w:val="002064EF"/>
    <w:rsid w:val="00206544"/>
    <w:rsid w:val="00206CB2"/>
    <w:rsid w:val="00206EC7"/>
    <w:rsid w:val="00206F62"/>
    <w:rsid w:val="002074A5"/>
    <w:rsid w:val="00207577"/>
    <w:rsid w:val="00207905"/>
    <w:rsid w:val="00210444"/>
    <w:rsid w:val="0021084A"/>
    <w:rsid w:val="00210C67"/>
    <w:rsid w:val="00210DE1"/>
    <w:rsid w:val="002112B8"/>
    <w:rsid w:val="00211486"/>
    <w:rsid w:val="002116CD"/>
    <w:rsid w:val="00212021"/>
    <w:rsid w:val="0021263A"/>
    <w:rsid w:val="00213786"/>
    <w:rsid w:val="00213CFF"/>
    <w:rsid w:val="00214240"/>
    <w:rsid w:val="002143B4"/>
    <w:rsid w:val="0021563F"/>
    <w:rsid w:val="00215CFA"/>
    <w:rsid w:val="00215EC6"/>
    <w:rsid w:val="0022081A"/>
    <w:rsid w:val="002208DB"/>
    <w:rsid w:val="00220A49"/>
    <w:rsid w:val="00221D74"/>
    <w:rsid w:val="00222472"/>
    <w:rsid w:val="0022255F"/>
    <w:rsid w:val="0022257C"/>
    <w:rsid w:val="002228B9"/>
    <w:rsid w:val="00222A99"/>
    <w:rsid w:val="00222D4C"/>
    <w:rsid w:val="002233D2"/>
    <w:rsid w:val="00223CC5"/>
    <w:rsid w:val="00223EED"/>
    <w:rsid w:val="00224346"/>
    <w:rsid w:val="00224CD6"/>
    <w:rsid w:val="002258CF"/>
    <w:rsid w:val="00226317"/>
    <w:rsid w:val="002263FC"/>
    <w:rsid w:val="00226657"/>
    <w:rsid w:val="002270AF"/>
    <w:rsid w:val="00227CED"/>
    <w:rsid w:val="00230484"/>
    <w:rsid w:val="0023050F"/>
    <w:rsid w:val="0023058D"/>
    <w:rsid w:val="002308B4"/>
    <w:rsid w:val="00231797"/>
    <w:rsid w:val="00231971"/>
    <w:rsid w:val="00231B48"/>
    <w:rsid w:val="00232BD5"/>
    <w:rsid w:val="00233386"/>
    <w:rsid w:val="0023418A"/>
    <w:rsid w:val="00234231"/>
    <w:rsid w:val="00234512"/>
    <w:rsid w:val="0023491D"/>
    <w:rsid w:val="00234AA1"/>
    <w:rsid w:val="002350FA"/>
    <w:rsid w:val="0023557A"/>
    <w:rsid w:val="00235E14"/>
    <w:rsid w:val="002369D2"/>
    <w:rsid w:val="00236BB3"/>
    <w:rsid w:val="00237D73"/>
    <w:rsid w:val="00240CE3"/>
    <w:rsid w:val="00241297"/>
    <w:rsid w:val="002415C1"/>
    <w:rsid w:val="002425F7"/>
    <w:rsid w:val="00242903"/>
    <w:rsid w:val="00243448"/>
    <w:rsid w:val="00243696"/>
    <w:rsid w:val="00243F8C"/>
    <w:rsid w:val="002442E2"/>
    <w:rsid w:val="00244827"/>
    <w:rsid w:val="002450F5"/>
    <w:rsid w:val="00245C1B"/>
    <w:rsid w:val="00245D3B"/>
    <w:rsid w:val="00246A65"/>
    <w:rsid w:val="00246D17"/>
    <w:rsid w:val="00246F26"/>
    <w:rsid w:val="00247253"/>
    <w:rsid w:val="002472A4"/>
    <w:rsid w:val="002475ED"/>
    <w:rsid w:val="00247A73"/>
    <w:rsid w:val="002506FE"/>
    <w:rsid w:val="00250F3F"/>
    <w:rsid w:val="00250F90"/>
    <w:rsid w:val="002524EC"/>
    <w:rsid w:val="002529E1"/>
    <w:rsid w:val="00252F69"/>
    <w:rsid w:val="002533A0"/>
    <w:rsid w:val="0025388C"/>
    <w:rsid w:val="002539E1"/>
    <w:rsid w:val="00254649"/>
    <w:rsid w:val="002553F4"/>
    <w:rsid w:val="00255CA7"/>
    <w:rsid w:val="002560F2"/>
    <w:rsid w:val="002567E9"/>
    <w:rsid w:val="00256CAD"/>
    <w:rsid w:val="00256FE2"/>
    <w:rsid w:val="002571D8"/>
    <w:rsid w:val="0025765E"/>
    <w:rsid w:val="00257E57"/>
    <w:rsid w:val="00260A1A"/>
    <w:rsid w:val="0026181C"/>
    <w:rsid w:val="00262216"/>
    <w:rsid w:val="00262EB6"/>
    <w:rsid w:val="002635C3"/>
    <w:rsid w:val="00263A2A"/>
    <w:rsid w:val="00263E05"/>
    <w:rsid w:val="00263E14"/>
    <w:rsid w:val="00264319"/>
    <w:rsid w:val="00264503"/>
    <w:rsid w:val="0026511C"/>
    <w:rsid w:val="002657F4"/>
    <w:rsid w:val="00265F23"/>
    <w:rsid w:val="002661D9"/>
    <w:rsid w:val="00266337"/>
    <w:rsid w:val="002667B1"/>
    <w:rsid w:val="00266D9B"/>
    <w:rsid w:val="00267062"/>
    <w:rsid w:val="00267259"/>
    <w:rsid w:val="00270353"/>
    <w:rsid w:val="00271319"/>
    <w:rsid w:val="00271631"/>
    <w:rsid w:val="00271EB8"/>
    <w:rsid w:val="002727A5"/>
    <w:rsid w:val="00273141"/>
    <w:rsid w:val="0027360C"/>
    <w:rsid w:val="002737D6"/>
    <w:rsid w:val="00273EBB"/>
    <w:rsid w:val="00274413"/>
    <w:rsid w:val="0027491E"/>
    <w:rsid w:val="00274A09"/>
    <w:rsid w:val="00274E7D"/>
    <w:rsid w:val="00274EBA"/>
    <w:rsid w:val="00275F09"/>
    <w:rsid w:val="002761B3"/>
    <w:rsid w:val="0027696F"/>
    <w:rsid w:val="00276A9B"/>
    <w:rsid w:val="00276B2C"/>
    <w:rsid w:val="00276CC0"/>
    <w:rsid w:val="00276EE5"/>
    <w:rsid w:val="002771E3"/>
    <w:rsid w:val="00277558"/>
    <w:rsid w:val="00277DA2"/>
    <w:rsid w:val="00280A8C"/>
    <w:rsid w:val="00280F28"/>
    <w:rsid w:val="00281025"/>
    <w:rsid w:val="002815AB"/>
    <w:rsid w:val="0028190A"/>
    <w:rsid w:val="00281981"/>
    <w:rsid w:val="00281D6F"/>
    <w:rsid w:val="00281E02"/>
    <w:rsid w:val="00282D6D"/>
    <w:rsid w:val="00283193"/>
    <w:rsid w:val="002839C5"/>
    <w:rsid w:val="00283EC5"/>
    <w:rsid w:val="002845F7"/>
    <w:rsid w:val="0028557D"/>
    <w:rsid w:val="00285B0E"/>
    <w:rsid w:val="00285B15"/>
    <w:rsid w:val="00286B10"/>
    <w:rsid w:val="00287550"/>
    <w:rsid w:val="00287698"/>
    <w:rsid w:val="00287C8E"/>
    <w:rsid w:val="00290831"/>
    <w:rsid w:val="002915A3"/>
    <w:rsid w:val="00291EFD"/>
    <w:rsid w:val="00292222"/>
    <w:rsid w:val="002929C6"/>
    <w:rsid w:val="002938C3"/>
    <w:rsid w:val="00294562"/>
    <w:rsid w:val="00294841"/>
    <w:rsid w:val="002958E9"/>
    <w:rsid w:val="002961E8"/>
    <w:rsid w:val="00296C45"/>
    <w:rsid w:val="00296D1C"/>
    <w:rsid w:val="00297158"/>
    <w:rsid w:val="0029783F"/>
    <w:rsid w:val="00297B32"/>
    <w:rsid w:val="002A02EE"/>
    <w:rsid w:val="002A0B9D"/>
    <w:rsid w:val="002A13BD"/>
    <w:rsid w:val="002A16F8"/>
    <w:rsid w:val="002A1E9C"/>
    <w:rsid w:val="002A1EC9"/>
    <w:rsid w:val="002A2443"/>
    <w:rsid w:val="002A2D2D"/>
    <w:rsid w:val="002A2DDB"/>
    <w:rsid w:val="002A308D"/>
    <w:rsid w:val="002A34C1"/>
    <w:rsid w:val="002A35D4"/>
    <w:rsid w:val="002A390F"/>
    <w:rsid w:val="002A3A1C"/>
    <w:rsid w:val="002A3D3D"/>
    <w:rsid w:val="002A46D2"/>
    <w:rsid w:val="002A4CC6"/>
    <w:rsid w:val="002A66CA"/>
    <w:rsid w:val="002A70CF"/>
    <w:rsid w:val="002A74E3"/>
    <w:rsid w:val="002B0AFA"/>
    <w:rsid w:val="002B0BDD"/>
    <w:rsid w:val="002B0F2E"/>
    <w:rsid w:val="002B0FB8"/>
    <w:rsid w:val="002B1C7F"/>
    <w:rsid w:val="002B1CF7"/>
    <w:rsid w:val="002B1DAF"/>
    <w:rsid w:val="002B2876"/>
    <w:rsid w:val="002B28D5"/>
    <w:rsid w:val="002B323B"/>
    <w:rsid w:val="002B3EFF"/>
    <w:rsid w:val="002B3F32"/>
    <w:rsid w:val="002B400D"/>
    <w:rsid w:val="002B42C7"/>
    <w:rsid w:val="002B4484"/>
    <w:rsid w:val="002B4A35"/>
    <w:rsid w:val="002B4BAA"/>
    <w:rsid w:val="002B5052"/>
    <w:rsid w:val="002B531C"/>
    <w:rsid w:val="002B540F"/>
    <w:rsid w:val="002B5471"/>
    <w:rsid w:val="002B6F41"/>
    <w:rsid w:val="002B77FE"/>
    <w:rsid w:val="002B7A79"/>
    <w:rsid w:val="002C0BD4"/>
    <w:rsid w:val="002C0F62"/>
    <w:rsid w:val="002C1126"/>
    <w:rsid w:val="002C12C8"/>
    <w:rsid w:val="002C1386"/>
    <w:rsid w:val="002C2FC0"/>
    <w:rsid w:val="002C3560"/>
    <w:rsid w:val="002C36C2"/>
    <w:rsid w:val="002C3B21"/>
    <w:rsid w:val="002C3C72"/>
    <w:rsid w:val="002C3CB4"/>
    <w:rsid w:val="002C47A8"/>
    <w:rsid w:val="002C4EDC"/>
    <w:rsid w:val="002C616A"/>
    <w:rsid w:val="002C69FA"/>
    <w:rsid w:val="002C6B10"/>
    <w:rsid w:val="002C6D0A"/>
    <w:rsid w:val="002C6D37"/>
    <w:rsid w:val="002D02A8"/>
    <w:rsid w:val="002D08C2"/>
    <w:rsid w:val="002D0F23"/>
    <w:rsid w:val="002D197E"/>
    <w:rsid w:val="002D1D8A"/>
    <w:rsid w:val="002D2579"/>
    <w:rsid w:val="002D378E"/>
    <w:rsid w:val="002D384C"/>
    <w:rsid w:val="002D48A6"/>
    <w:rsid w:val="002D4DDE"/>
    <w:rsid w:val="002D53FC"/>
    <w:rsid w:val="002D577D"/>
    <w:rsid w:val="002D5853"/>
    <w:rsid w:val="002D5E7B"/>
    <w:rsid w:val="002D692A"/>
    <w:rsid w:val="002D6A6A"/>
    <w:rsid w:val="002D6EBF"/>
    <w:rsid w:val="002D7636"/>
    <w:rsid w:val="002D77D1"/>
    <w:rsid w:val="002D7B52"/>
    <w:rsid w:val="002E0AA9"/>
    <w:rsid w:val="002E141E"/>
    <w:rsid w:val="002E2199"/>
    <w:rsid w:val="002E22D3"/>
    <w:rsid w:val="002E23BC"/>
    <w:rsid w:val="002E25F4"/>
    <w:rsid w:val="002E2DCA"/>
    <w:rsid w:val="002E2F72"/>
    <w:rsid w:val="002E4BEF"/>
    <w:rsid w:val="002E4D56"/>
    <w:rsid w:val="002E4EF0"/>
    <w:rsid w:val="002E5C4C"/>
    <w:rsid w:val="002E62D9"/>
    <w:rsid w:val="002E7249"/>
    <w:rsid w:val="002E7583"/>
    <w:rsid w:val="002E7B35"/>
    <w:rsid w:val="002F01B3"/>
    <w:rsid w:val="002F086B"/>
    <w:rsid w:val="002F0C86"/>
    <w:rsid w:val="002F18A9"/>
    <w:rsid w:val="002F3685"/>
    <w:rsid w:val="002F3C91"/>
    <w:rsid w:val="002F46E5"/>
    <w:rsid w:val="002F4990"/>
    <w:rsid w:val="002F5AE8"/>
    <w:rsid w:val="002F6C02"/>
    <w:rsid w:val="002F6F05"/>
    <w:rsid w:val="002F708B"/>
    <w:rsid w:val="002F7A6B"/>
    <w:rsid w:val="002F7D65"/>
    <w:rsid w:val="0030007E"/>
    <w:rsid w:val="003007AB"/>
    <w:rsid w:val="00300D75"/>
    <w:rsid w:val="00302ED2"/>
    <w:rsid w:val="003030D4"/>
    <w:rsid w:val="003032D3"/>
    <w:rsid w:val="00303E3D"/>
    <w:rsid w:val="00304084"/>
    <w:rsid w:val="00304E28"/>
    <w:rsid w:val="00305717"/>
    <w:rsid w:val="0030572F"/>
    <w:rsid w:val="00305A6B"/>
    <w:rsid w:val="00306698"/>
    <w:rsid w:val="00306E4A"/>
    <w:rsid w:val="00310A33"/>
    <w:rsid w:val="00310B76"/>
    <w:rsid w:val="003111AB"/>
    <w:rsid w:val="0031138F"/>
    <w:rsid w:val="00311656"/>
    <w:rsid w:val="003130D7"/>
    <w:rsid w:val="003132A3"/>
    <w:rsid w:val="0031359A"/>
    <w:rsid w:val="003139C4"/>
    <w:rsid w:val="00313B36"/>
    <w:rsid w:val="00313DD3"/>
    <w:rsid w:val="00313DFD"/>
    <w:rsid w:val="003145FD"/>
    <w:rsid w:val="00314E51"/>
    <w:rsid w:val="003155DC"/>
    <w:rsid w:val="003156A8"/>
    <w:rsid w:val="00315A55"/>
    <w:rsid w:val="0031689A"/>
    <w:rsid w:val="00316D4F"/>
    <w:rsid w:val="00316F99"/>
    <w:rsid w:val="00317039"/>
    <w:rsid w:val="003170E8"/>
    <w:rsid w:val="003171B2"/>
    <w:rsid w:val="00317984"/>
    <w:rsid w:val="0032049F"/>
    <w:rsid w:val="003205D2"/>
    <w:rsid w:val="00320877"/>
    <w:rsid w:val="003211C2"/>
    <w:rsid w:val="00321E54"/>
    <w:rsid w:val="00322183"/>
    <w:rsid w:val="00322188"/>
    <w:rsid w:val="003231C8"/>
    <w:rsid w:val="003232C7"/>
    <w:rsid w:val="00323412"/>
    <w:rsid w:val="0032433D"/>
    <w:rsid w:val="003246BF"/>
    <w:rsid w:val="003258F9"/>
    <w:rsid w:val="00325CF9"/>
    <w:rsid w:val="00326BB1"/>
    <w:rsid w:val="003270AB"/>
    <w:rsid w:val="00327668"/>
    <w:rsid w:val="00327966"/>
    <w:rsid w:val="00327D4D"/>
    <w:rsid w:val="003305B4"/>
    <w:rsid w:val="003308A6"/>
    <w:rsid w:val="003308BD"/>
    <w:rsid w:val="003310C8"/>
    <w:rsid w:val="00331681"/>
    <w:rsid w:val="00331C63"/>
    <w:rsid w:val="00331D85"/>
    <w:rsid w:val="003330F7"/>
    <w:rsid w:val="0033372D"/>
    <w:rsid w:val="00334422"/>
    <w:rsid w:val="00335435"/>
    <w:rsid w:val="0033581F"/>
    <w:rsid w:val="00335F3A"/>
    <w:rsid w:val="003364BA"/>
    <w:rsid w:val="00336CF1"/>
    <w:rsid w:val="00337DD5"/>
    <w:rsid w:val="00337EF8"/>
    <w:rsid w:val="00340400"/>
    <w:rsid w:val="00340883"/>
    <w:rsid w:val="003411D8"/>
    <w:rsid w:val="00341654"/>
    <w:rsid w:val="00341D46"/>
    <w:rsid w:val="00341D90"/>
    <w:rsid w:val="00343700"/>
    <w:rsid w:val="00343DE0"/>
    <w:rsid w:val="00344015"/>
    <w:rsid w:val="00344C07"/>
    <w:rsid w:val="00345170"/>
    <w:rsid w:val="0034537D"/>
    <w:rsid w:val="00345814"/>
    <w:rsid w:val="00345ADA"/>
    <w:rsid w:val="00346CA0"/>
    <w:rsid w:val="00347371"/>
    <w:rsid w:val="0035180E"/>
    <w:rsid w:val="00351DBB"/>
    <w:rsid w:val="0035225F"/>
    <w:rsid w:val="003535E8"/>
    <w:rsid w:val="00354ABE"/>
    <w:rsid w:val="00354C95"/>
    <w:rsid w:val="00355037"/>
    <w:rsid w:val="0035544D"/>
    <w:rsid w:val="00355B43"/>
    <w:rsid w:val="00355CE7"/>
    <w:rsid w:val="00356209"/>
    <w:rsid w:val="003563CF"/>
    <w:rsid w:val="0035692D"/>
    <w:rsid w:val="003579F7"/>
    <w:rsid w:val="00357A85"/>
    <w:rsid w:val="00357B67"/>
    <w:rsid w:val="00357FB7"/>
    <w:rsid w:val="003605D9"/>
    <w:rsid w:val="003609CB"/>
    <w:rsid w:val="00360A9B"/>
    <w:rsid w:val="00362F33"/>
    <w:rsid w:val="0036364F"/>
    <w:rsid w:val="003644DC"/>
    <w:rsid w:val="00364611"/>
    <w:rsid w:val="00364BE1"/>
    <w:rsid w:val="00364C18"/>
    <w:rsid w:val="00364EC5"/>
    <w:rsid w:val="003652F7"/>
    <w:rsid w:val="003669E0"/>
    <w:rsid w:val="0036734D"/>
    <w:rsid w:val="00367DBC"/>
    <w:rsid w:val="0037007F"/>
    <w:rsid w:val="00371331"/>
    <w:rsid w:val="00371422"/>
    <w:rsid w:val="00371E19"/>
    <w:rsid w:val="00371E3F"/>
    <w:rsid w:val="00372828"/>
    <w:rsid w:val="003728E3"/>
    <w:rsid w:val="00373348"/>
    <w:rsid w:val="0037556E"/>
    <w:rsid w:val="00376450"/>
    <w:rsid w:val="00376949"/>
    <w:rsid w:val="003772CE"/>
    <w:rsid w:val="003776A7"/>
    <w:rsid w:val="00377D27"/>
    <w:rsid w:val="00380610"/>
    <w:rsid w:val="003807B1"/>
    <w:rsid w:val="00380B27"/>
    <w:rsid w:val="003811EC"/>
    <w:rsid w:val="00381EFD"/>
    <w:rsid w:val="00382221"/>
    <w:rsid w:val="0038271D"/>
    <w:rsid w:val="0038365E"/>
    <w:rsid w:val="003840B2"/>
    <w:rsid w:val="00384598"/>
    <w:rsid w:val="003849F6"/>
    <w:rsid w:val="00385189"/>
    <w:rsid w:val="0038524D"/>
    <w:rsid w:val="00385725"/>
    <w:rsid w:val="003860D4"/>
    <w:rsid w:val="003865A0"/>
    <w:rsid w:val="00387058"/>
    <w:rsid w:val="003878AA"/>
    <w:rsid w:val="003879B6"/>
    <w:rsid w:val="00387F6B"/>
    <w:rsid w:val="0039028B"/>
    <w:rsid w:val="003906BF"/>
    <w:rsid w:val="0039176B"/>
    <w:rsid w:val="00391802"/>
    <w:rsid w:val="00391869"/>
    <w:rsid w:val="00391A81"/>
    <w:rsid w:val="0039262D"/>
    <w:rsid w:val="0039286D"/>
    <w:rsid w:val="00392F9F"/>
    <w:rsid w:val="003939DF"/>
    <w:rsid w:val="00393D61"/>
    <w:rsid w:val="00394729"/>
    <w:rsid w:val="00395422"/>
    <w:rsid w:val="00396456"/>
    <w:rsid w:val="00397124"/>
    <w:rsid w:val="00397595"/>
    <w:rsid w:val="003A0680"/>
    <w:rsid w:val="003A102D"/>
    <w:rsid w:val="003A2021"/>
    <w:rsid w:val="003A31CA"/>
    <w:rsid w:val="003A36C5"/>
    <w:rsid w:val="003A3D7C"/>
    <w:rsid w:val="003A4956"/>
    <w:rsid w:val="003A525C"/>
    <w:rsid w:val="003A5955"/>
    <w:rsid w:val="003A5D80"/>
    <w:rsid w:val="003A5F80"/>
    <w:rsid w:val="003A61FD"/>
    <w:rsid w:val="003A655A"/>
    <w:rsid w:val="003A69DD"/>
    <w:rsid w:val="003A6FC9"/>
    <w:rsid w:val="003A7220"/>
    <w:rsid w:val="003A7385"/>
    <w:rsid w:val="003A77AF"/>
    <w:rsid w:val="003A7B1E"/>
    <w:rsid w:val="003A7C72"/>
    <w:rsid w:val="003B0562"/>
    <w:rsid w:val="003B0A01"/>
    <w:rsid w:val="003B1017"/>
    <w:rsid w:val="003B1761"/>
    <w:rsid w:val="003B2398"/>
    <w:rsid w:val="003B32EB"/>
    <w:rsid w:val="003B4046"/>
    <w:rsid w:val="003B41EC"/>
    <w:rsid w:val="003B41EF"/>
    <w:rsid w:val="003B4CDC"/>
    <w:rsid w:val="003B55F3"/>
    <w:rsid w:val="003B5B78"/>
    <w:rsid w:val="003B6AFF"/>
    <w:rsid w:val="003B7218"/>
    <w:rsid w:val="003B7A81"/>
    <w:rsid w:val="003C052D"/>
    <w:rsid w:val="003C0C96"/>
    <w:rsid w:val="003C16E6"/>
    <w:rsid w:val="003C2328"/>
    <w:rsid w:val="003C2DE5"/>
    <w:rsid w:val="003C346D"/>
    <w:rsid w:val="003C4C09"/>
    <w:rsid w:val="003C4C29"/>
    <w:rsid w:val="003C50EA"/>
    <w:rsid w:val="003C6174"/>
    <w:rsid w:val="003C61DB"/>
    <w:rsid w:val="003C6603"/>
    <w:rsid w:val="003C670C"/>
    <w:rsid w:val="003C6D88"/>
    <w:rsid w:val="003C7836"/>
    <w:rsid w:val="003C7C58"/>
    <w:rsid w:val="003D0123"/>
    <w:rsid w:val="003D02BD"/>
    <w:rsid w:val="003D163A"/>
    <w:rsid w:val="003D1793"/>
    <w:rsid w:val="003D1A58"/>
    <w:rsid w:val="003D1B9C"/>
    <w:rsid w:val="003D23AE"/>
    <w:rsid w:val="003D26A8"/>
    <w:rsid w:val="003D2B27"/>
    <w:rsid w:val="003D2DBC"/>
    <w:rsid w:val="003D3398"/>
    <w:rsid w:val="003D4599"/>
    <w:rsid w:val="003D50E6"/>
    <w:rsid w:val="003D51B0"/>
    <w:rsid w:val="003D5740"/>
    <w:rsid w:val="003D5742"/>
    <w:rsid w:val="003D5EA7"/>
    <w:rsid w:val="003D6572"/>
    <w:rsid w:val="003D687E"/>
    <w:rsid w:val="003D6C16"/>
    <w:rsid w:val="003D6D87"/>
    <w:rsid w:val="003D781A"/>
    <w:rsid w:val="003D7CD1"/>
    <w:rsid w:val="003D7F0A"/>
    <w:rsid w:val="003D7F9C"/>
    <w:rsid w:val="003E0FD0"/>
    <w:rsid w:val="003E13B7"/>
    <w:rsid w:val="003E1695"/>
    <w:rsid w:val="003E23EF"/>
    <w:rsid w:val="003E27E2"/>
    <w:rsid w:val="003E2ADE"/>
    <w:rsid w:val="003E2CE0"/>
    <w:rsid w:val="003E34BE"/>
    <w:rsid w:val="003E3C55"/>
    <w:rsid w:val="003E40E5"/>
    <w:rsid w:val="003E456B"/>
    <w:rsid w:val="003E4918"/>
    <w:rsid w:val="003E4EC6"/>
    <w:rsid w:val="003E6BA5"/>
    <w:rsid w:val="003E740C"/>
    <w:rsid w:val="003E7625"/>
    <w:rsid w:val="003F002E"/>
    <w:rsid w:val="003F070A"/>
    <w:rsid w:val="003F10A8"/>
    <w:rsid w:val="003F25A5"/>
    <w:rsid w:val="003F31EE"/>
    <w:rsid w:val="003F4B98"/>
    <w:rsid w:val="003F53CF"/>
    <w:rsid w:val="003F55C4"/>
    <w:rsid w:val="003F5CA1"/>
    <w:rsid w:val="003F6B70"/>
    <w:rsid w:val="003F755D"/>
    <w:rsid w:val="003F773E"/>
    <w:rsid w:val="00400E95"/>
    <w:rsid w:val="00400EE1"/>
    <w:rsid w:val="00401815"/>
    <w:rsid w:val="0040260A"/>
    <w:rsid w:val="004026D9"/>
    <w:rsid w:val="004029FC"/>
    <w:rsid w:val="00403020"/>
    <w:rsid w:val="004031B9"/>
    <w:rsid w:val="004034AD"/>
    <w:rsid w:val="004040EC"/>
    <w:rsid w:val="00404BE8"/>
    <w:rsid w:val="00405A47"/>
    <w:rsid w:val="00405C08"/>
    <w:rsid w:val="00406D93"/>
    <w:rsid w:val="004073FA"/>
    <w:rsid w:val="0040775A"/>
    <w:rsid w:val="00407C15"/>
    <w:rsid w:val="00407FFA"/>
    <w:rsid w:val="00410486"/>
    <w:rsid w:val="00410534"/>
    <w:rsid w:val="0041084B"/>
    <w:rsid w:val="00410D67"/>
    <w:rsid w:val="00410D84"/>
    <w:rsid w:val="00410EF1"/>
    <w:rsid w:val="00411007"/>
    <w:rsid w:val="00411146"/>
    <w:rsid w:val="004112EE"/>
    <w:rsid w:val="00411585"/>
    <w:rsid w:val="00411A92"/>
    <w:rsid w:val="004124E4"/>
    <w:rsid w:val="004126FD"/>
    <w:rsid w:val="00412D67"/>
    <w:rsid w:val="00412F36"/>
    <w:rsid w:val="004132BC"/>
    <w:rsid w:val="0041394F"/>
    <w:rsid w:val="004139ED"/>
    <w:rsid w:val="00414725"/>
    <w:rsid w:val="00415160"/>
    <w:rsid w:val="00415A67"/>
    <w:rsid w:val="00415AB0"/>
    <w:rsid w:val="00416B8D"/>
    <w:rsid w:val="00417769"/>
    <w:rsid w:val="00417D2E"/>
    <w:rsid w:val="00420679"/>
    <w:rsid w:val="0042091E"/>
    <w:rsid w:val="00420CDE"/>
    <w:rsid w:val="00422206"/>
    <w:rsid w:val="004226E7"/>
    <w:rsid w:val="00422C56"/>
    <w:rsid w:val="004230DD"/>
    <w:rsid w:val="004237A4"/>
    <w:rsid w:val="004240B2"/>
    <w:rsid w:val="00424AFB"/>
    <w:rsid w:val="00424BF2"/>
    <w:rsid w:val="00425459"/>
    <w:rsid w:val="00425882"/>
    <w:rsid w:val="0042643B"/>
    <w:rsid w:val="00426883"/>
    <w:rsid w:val="0042706E"/>
    <w:rsid w:val="00427124"/>
    <w:rsid w:val="00427EDE"/>
    <w:rsid w:val="0043079C"/>
    <w:rsid w:val="00430841"/>
    <w:rsid w:val="004308C3"/>
    <w:rsid w:val="00430D77"/>
    <w:rsid w:val="0043186D"/>
    <w:rsid w:val="004322CD"/>
    <w:rsid w:val="0043235B"/>
    <w:rsid w:val="0043238A"/>
    <w:rsid w:val="00433971"/>
    <w:rsid w:val="00433E53"/>
    <w:rsid w:val="00434C12"/>
    <w:rsid w:val="00434C49"/>
    <w:rsid w:val="00434C5A"/>
    <w:rsid w:val="00434D2D"/>
    <w:rsid w:val="00435966"/>
    <w:rsid w:val="0043619A"/>
    <w:rsid w:val="004362B7"/>
    <w:rsid w:val="0043640D"/>
    <w:rsid w:val="00436F56"/>
    <w:rsid w:val="004371CD"/>
    <w:rsid w:val="00440367"/>
    <w:rsid w:val="0044088D"/>
    <w:rsid w:val="00440D02"/>
    <w:rsid w:val="00441370"/>
    <w:rsid w:val="00441F9B"/>
    <w:rsid w:val="0044231A"/>
    <w:rsid w:val="004423B9"/>
    <w:rsid w:val="0044291D"/>
    <w:rsid w:val="00442E0D"/>
    <w:rsid w:val="00443CBB"/>
    <w:rsid w:val="00443F9F"/>
    <w:rsid w:val="0044403B"/>
    <w:rsid w:val="00444073"/>
    <w:rsid w:val="00444666"/>
    <w:rsid w:val="004449F5"/>
    <w:rsid w:val="004454D8"/>
    <w:rsid w:val="00445BAB"/>
    <w:rsid w:val="0044643A"/>
    <w:rsid w:val="0044748B"/>
    <w:rsid w:val="00447A29"/>
    <w:rsid w:val="00447AB7"/>
    <w:rsid w:val="00450170"/>
    <w:rsid w:val="00450999"/>
    <w:rsid w:val="00450ED8"/>
    <w:rsid w:val="00451796"/>
    <w:rsid w:val="004535F2"/>
    <w:rsid w:val="00453847"/>
    <w:rsid w:val="0045395B"/>
    <w:rsid w:val="00454376"/>
    <w:rsid w:val="004543D7"/>
    <w:rsid w:val="004552DE"/>
    <w:rsid w:val="0045535A"/>
    <w:rsid w:val="00455E22"/>
    <w:rsid w:val="00456141"/>
    <w:rsid w:val="00456163"/>
    <w:rsid w:val="00456359"/>
    <w:rsid w:val="00456EC4"/>
    <w:rsid w:val="00457C77"/>
    <w:rsid w:val="004600EB"/>
    <w:rsid w:val="00460313"/>
    <w:rsid w:val="00460A96"/>
    <w:rsid w:val="00460C87"/>
    <w:rsid w:val="00462DE5"/>
    <w:rsid w:val="00463001"/>
    <w:rsid w:val="00463D39"/>
    <w:rsid w:val="00463FB5"/>
    <w:rsid w:val="004643E6"/>
    <w:rsid w:val="00464A51"/>
    <w:rsid w:val="00466DEC"/>
    <w:rsid w:val="0046765F"/>
    <w:rsid w:val="00467ED5"/>
    <w:rsid w:val="00470072"/>
    <w:rsid w:val="0047035A"/>
    <w:rsid w:val="00471480"/>
    <w:rsid w:val="00471B58"/>
    <w:rsid w:val="00471BB1"/>
    <w:rsid w:val="00472000"/>
    <w:rsid w:val="00472905"/>
    <w:rsid w:val="00472E2F"/>
    <w:rsid w:val="00474522"/>
    <w:rsid w:val="004747AE"/>
    <w:rsid w:val="004748EB"/>
    <w:rsid w:val="00474A71"/>
    <w:rsid w:val="00474C21"/>
    <w:rsid w:val="00475370"/>
    <w:rsid w:val="0047540E"/>
    <w:rsid w:val="004756D5"/>
    <w:rsid w:val="004759FA"/>
    <w:rsid w:val="00475AC6"/>
    <w:rsid w:val="00476254"/>
    <w:rsid w:val="0047650B"/>
    <w:rsid w:val="00476A74"/>
    <w:rsid w:val="00477815"/>
    <w:rsid w:val="00477984"/>
    <w:rsid w:val="004819F0"/>
    <w:rsid w:val="00481AA8"/>
    <w:rsid w:val="00481B50"/>
    <w:rsid w:val="00481EB0"/>
    <w:rsid w:val="00481ED4"/>
    <w:rsid w:val="00481FC7"/>
    <w:rsid w:val="004823C6"/>
    <w:rsid w:val="00482719"/>
    <w:rsid w:val="0048271E"/>
    <w:rsid w:val="00483E20"/>
    <w:rsid w:val="00483EF7"/>
    <w:rsid w:val="0048400E"/>
    <w:rsid w:val="004856FA"/>
    <w:rsid w:val="004858B9"/>
    <w:rsid w:val="00486637"/>
    <w:rsid w:val="00486D11"/>
    <w:rsid w:val="00486F11"/>
    <w:rsid w:val="0048758D"/>
    <w:rsid w:val="004905D9"/>
    <w:rsid w:val="00490B40"/>
    <w:rsid w:val="00490D94"/>
    <w:rsid w:val="00490F82"/>
    <w:rsid w:val="0049101C"/>
    <w:rsid w:val="004911B7"/>
    <w:rsid w:val="004915F6"/>
    <w:rsid w:val="004919BC"/>
    <w:rsid w:val="00491A69"/>
    <w:rsid w:val="00491DC7"/>
    <w:rsid w:val="00492195"/>
    <w:rsid w:val="00492497"/>
    <w:rsid w:val="004929BE"/>
    <w:rsid w:val="004930D1"/>
    <w:rsid w:val="004931F0"/>
    <w:rsid w:val="00493584"/>
    <w:rsid w:val="00493E3C"/>
    <w:rsid w:val="004944DB"/>
    <w:rsid w:val="00494AA5"/>
    <w:rsid w:val="00494EB2"/>
    <w:rsid w:val="0049619D"/>
    <w:rsid w:val="00496509"/>
    <w:rsid w:val="00497A7E"/>
    <w:rsid w:val="004A013D"/>
    <w:rsid w:val="004A0744"/>
    <w:rsid w:val="004A0F25"/>
    <w:rsid w:val="004A1CFD"/>
    <w:rsid w:val="004A1D2D"/>
    <w:rsid w:val="004A2210"/>
    <w:rsid w:val="004A2429"/>
    <w:rsid w:val="004A2500"/>
    <w:rsid w:val="004A2702"/>
    <w:rsid w:val="004A2B4C"/>
    <w:rsid w:val="004A2D7B"/>
    <w:rsid w:val="004A2EE1"/>
    <w:rsid w:val="004A392F"/>
    <w:rsid w:val="004A4BB6"/>
    <w:rsid w:val="004A552F"/>
    <w:rsid w:val="004A5FFC"/>
    <w:rsid w:val="004A6148"/>
    <w:rsid w:val="004A687F"/>
    <w:rsid w:val="004A698B"/>
    <w:rsid w:val="004A7033"/>
    <w:rsid w:val="004A7D44"/>
    <w:rsid w:val="004A7F61"/>
    <w:rsid w:val="004B000E"/>
    <w:rsid w:val="004B0096"/>
    <w:rsid w:val="004B118C"/>
    <w:rsid w:val="004B1F4E"/>
    <w:rsid w:val="004B2302"/>
    <w:rsid w:val="004B2667"/>
    <w:rsid w:val="004B2C34"/>
    <w:rsid w:val="004B2F4F"/>
    <w:rsid w:val="004B2FA5"/>
    <w:rsid w:val="004B30DB"/>
    <w:rsid w:val="004B33A6"/>
    <w:rsid w:val="004B3F14"/>
    <w:rsid w:val="004B4AEE"/>
    <w:rsid w:val="004B527A"/>
    <w:rsid w:val="004B5D88"/>
    <w:rsid w:val="004B7413"/>
    <w:rsid w:val="004B7CB8"/>
    <w:rsid w:val="004C0BD9"/>
    <w:rsid w:val="004C1478"/>
    <w:rsid w:val="004C1BFF"/>
    <w:rsid w:val="004C1EB7"/>
    <w:rsid w:val="004C2207"/>
    <w:rsid w:val="004C2676"/>
    <w:rsid w:val="004C2F08"/>
    <w:rsid w:val="004C355E"/>
    <w:rsid w:val="004C3C39"/>
    <w:rsid w:val="004C3CF5"/>
    <w:rsid w:val="004C3F63"/>
    <w:rsid w:val="004C53D6"/>
    <w:rsid w:val="004C6142"/>
    <w:rsid w:val="004C6F1C"/>
    <w:rsid w:val="004D046F"/>
    <w:rsid w:val="004D08D5"/>
    <w:rsid w:val="004D0A43"/>
    <w:rsid w:val="004D0E80"/>
    <w:rsid w:val="004D14B8"/>
    <w:rsid w:val="004D17D1"/>
    <w:rsid w:val="004D1807"/>
    <w:rsid w:val="004D2048"/>
    <w:rsid w:val="004D2B0F"/>
    <w:rsid w:val="004D2BD2"/>
    <w:rsid w:val="004D3571"/>
    <w:rsid w:val="004D457F"/>
    <w:rsid w:val="004D4A13"/>
    <w:rsid w:val="004D68F4"/>
    <w:rsid w:val="004D6FF6"/>
    <w:rsid w:val="004D7162"/>
    <w:rsid w:val="004D7F97"/>
    <w:rsid w:val="004E06DE"/>
    <w:rsid w:val="004E1311"/>
    <w:rsid w:val="004E1851"/>
    <w:rsid w:val="004E1982"/>
    <w:rsid w:val="004E23AF"/>
    <w:rsid w:val="004E2A29"/>
    <w:rsid w:val="004E2B72"/>
    <w:rsid w:val="004E2CC1"/>
    <w:rsid w:val="004E30B4"/>
    <w:rsid w:val="004E3235"/>
    <w:rsid w:val="004E3505"/>
    <w:rsid w:val="004E3612"/>
    <w:rsid w:val="004E42CB"/>
    <w:rsid w:val="004E4438"/>
    <w:rsid w:val="004E4500"/>
    <w:rsid w:val="004E464D"/>
    <w:rsid w:val="004E4863"/>
    <w:rsid w:val="004E4945"/>
    <w:rsid w:val="004E502F"/>
    <w:rsid w:val="004E505B"/>
    <w:rsid w:val="004E5437"/>
    <w:rsid w:val="004E57A1"/>
    <w:rsid w:val="004E62DB"/>
    <w:rsid w:val="004E7537"/>
    <w:rsid w:val="004E7B56"/>
    <w:rsid w:val="004E7DC5"/>
    <w:rsid w:val="004F0457"/>
    <w:rsid w:val="004F081C"/>
    <w:rsid w:val="004F098F"/>
    <w:rsid w:val="004F0AE9"/>
    <w:rsid w:val="004F17FC"/>
    <w:rsid w:val="004F2056"/>
    <w:rsid w:val="004F2731"/>
    <w:rsid w:val="004F2C4F"/>
    <w:rsid w:val="004F3435"/>
    <w:rsid w:val="004F4BCF"/>
    <w:rsid w:val="004F4BD1"/>
    <w:rsid w:val="004F6284"/>
    <w:rsid w:val="004F6D7A"/>
    <w:rsid w:val="004F6FC6"/>
    <w:rsid w:val="005000E5"/>
    <w:rsid w:val="0050034E"/>
    <w:rsid w:val="0050090B"/>
    <w:rsid w:val="00500FAC"/>
    <w:rsid w:val="005011DD"/>
    <w:rsid w:val="00501416"/>
    <w:rsid w:val="0050172B"/>
    <w:rsid w:val="00501E71"/>
    <w:rsid w:val="00501F74"/>
    <w:rsid w:val="0050292E"/>
    <w:rsid w:val="0050304D"/>
    <w:rsid w:val="00503572"/>
    <w:rsid w:val="0050372E"/>
    <w:rsid w:val="00503DCD"/>
    <w:rsid w:val="00504698"/>
    <w:rsid w:val="00504A6D"/>
    <w:rsid w:val="00504DC2"/>
    <w:rsid w:val="00505CF9"/>
    <w:rsid w:val="005060E3"/>
    <w:rsid w:val="0050699A"/>
    <w:rsid w:val="005072BB"/>
    <w:rsid w:val="00507444"/>
    <w:rsid w:val="005116F7"/>
    <w:rsid w:val="00511CC3"/>
    <w:rsid w:val="00512129"/>
    <w:rsid w:val="00512442"/>
    <w:rsid w:val="005132D0"/>
    <w:rsid w:val="005136B3"/>
    <w:rsid w:val="00513817"/>
    <w:rsid w:val="00514090"/>
    <w:rsid w:val="00515EA8"/>
    <w:rsid w:val="005163D8"/>
    <w:rsid w:val="0052005B"/>
    <w:rsid w:val="00520A5F"/>
    <w:rsid w:val="00520E86"/>
    <w:rsid w:val="0052146F"/>
    <w:rsid w:val="00521DA4"/>
    <w:rsid w:val="00521E30"/>
    <w:rsid w:val="00522EFC"/>
    <w:rsid w:val="005234B4"/>
    <w:rsid w:val="00523672"/>
    <w:rsid w:val="00523FA1"/>
    <w:rsid w:val="0052400A"/>
    <w:rsid w:val="00524182"/>
    <w:rsid w:val="00524CFB"/>
    <w:rsid w:val="005255CB"/>
    <w:rsid w:val="00525D5B"/>
    <w:rsid w:val="005261DD"/>
    <w:rsid w:val="00526579"/>
    <w:rsid w:val="00526BFC"/>
    <w:rsid w:val="00527C03"/>
    <w:rsid w:val="00531BED"/>
    <w:rsid w:val="0053210F"/>
    <w:rsid w:val="00532270"/>
    <w:rsid w:val="00532474"/>
    <w:rsid w:val="00532BBC"/>
    <w:rsid w:val="00534385"/>
    <w:rsid w:val="00534A1C"/>
    <w:rsid w:val="005351C3"/>
    <w:rsid w:val="00535ACE"/>
    <w:rsid w:val="0053686E"/>
    <w:rsid w:val="00536CD7"/>
    <w:rsid w:val="00536E6D"/>
    <w:rsid w:val="005402E5"/>
    <w:rsid w:val="005409A2"/>
    <w:rsid w:val="00540F40"/>
    <w:rsid w:val="00541578"/>
    <w:rsid w:val="00542BB6"/>
    <w:rsid w:val="00542F43"/>
    <w:rsid w:val="00544D9B"/>
    <w:rsid w:val="00545610"/>
    <w:rsid w:val="00545D4B"/>
    <w:rsid w:val="00546195"/>
    <w:rsid w:val="0054692E"/>
    <w:rsid w:val="005469A1"/>
    <w:rsid w:val="00546A21"/>
    <w:rsid w:val="00546DB1"/>
    <w:rsid w:val="00547072"/>
    <w:rsid w:val="00547672"/>
    <w:rsid w:val="00547AAE"/>
    <w:rsid w:val="00550980"/>
    <w:rsid w:val="0055142C"/>
    <w:rsid w:val="0055167B"/>
    <w:rsid w:val="00551BBA"/>
    <w:rsid w:val="00552580"/>
    <w:rsid w:val="005527B1"/>
    <w:rsid w:val="0055333E"/>
    <w:rsid w:val="00553620"/>
    <w:rsid w:val="0055460B"/>
    <w:rsid w:val="005559F0"/>
    <w:rsid w:val="00555B0F"/>
    <w:rsid w:val="0055640D"/>
    <w:rsid w:val="005564B3"/>
    <w:rsid w:val="005575CF"/>
    <w:rsid w:val="00557A75"/>
    <w:rsid w:val="005602E7"/>
    <w:rsid w:val="00560F1A"/>
    <w:rsid w:val="005613A7"/>
    <w:rsid w:val="005618AD"/>
    <w:rsid w:val="00561961"/>
    <w:rsid w:val="00561FE7"/>
    <w:rsid w:val="00562EB9"/>
    <w:rsid w:val="0056350A"/>
    <w:rsid w:val="005639A0"/>
    <w:rsid w:val="00563BCC"/>
    <w:rsid w:val="0056416F"/>
    <w:rsid w:val="00564C4D"/>
    <w:rsid w:val="0056545D"/>
    <w:rsid w:val="00565578"/>
    <w:rsid w:val="0056745C"/>
    <w:rsid w:val="00567532"/>
    <w:rsid w:val="00567601"/>
    <w:rsid w:val="005677DA"/>
    <w:rsid w:val="005707A2"/>
    <w:rsid w:val="00570912"/>
    <w:rsid w:val="00570A48"/>
    <w:rsid w:val="00570C54"/>
    <w:rsid w:val="005715C6"/>
    <w:rsid w:val="00571A6D"/>
    <w:rsid w:val="00572337"/>
    <w:rsid w:val="0057274B"/>
    <w:rsid w:val="0057277B"/>
    <w:rsid w:val="00572926"/>
    <w:rsid w:val="0057308E"/>
    <w:rsid w:val="005732C9"/>
    <w:rsid w:val="00573465"/>
    <w:rsid w:val="005737A6"/>
    <w:rsid w:val="00573E08"/>
    <w:rsid w:val="0057442F"/>
    <w:rsid w:val="00574481"/>
    <w:rsid w:val="00575F1B"/>
    <w:rsid w:val="00575F85"/>
    <w:rsid w:val="0057604E"/>
    <w:rsid w:val="00576205"/>
    <w:rsid w:val="00576396"/>
    <w:rsid w:val="0058073E"/>
    <w:rsid w:val="00580C9F"/>
    <w:rsid w:val="00581102"/>
    <w:rsid w:val="00581B2B"/>
    <w:rsid w:val="00581BE9"/>
    <w:rsid w:val="00581C38"/>
    <w:rsid w:val="00582506"/>
    <w:rsid w:val="00582E04"/>
    <w:rsid w:val="00582E7F"/>
    <w:rsid w:val="00583D2E"/>
    <w:rsid w:val="00584312"/>
    <w:rsid w:val="0058480B"/>
    <w:rsid w:val="0058512B"/>
    <w:rsid w:val="00585695"/>
    <w:rsid w:val="00586871"/>
    <w:rsid w:val="0058698B"/>
    <w:rsid w:val="00590100"/>
    <w:rsid w:val="00592C6C"/>
    <w:rsid w:val="00592D0A"/>
    <w:rsid w:val="0059388E"/>
    <w:rsid w:val="00594485"/>
    <w:rsid w:val="005948D3"/>
    <w:rsid w:val="00594F33"/>
    <w:rsid w:val="005955D2"/>
    <w:rsid w:val="00595753"/>
    <w:rsid w:val="00595ADE"/>
    <w:rsid w:val="00595C1D"/>
    <w:rsid w:val="00596ADE"/>
    <w:rsid w:val="00596C66"/>
    <w:rsid w:val="00596D17"/>
    <w:rsid w:val="00597C13"/>
    <w:rsid w:val="00597E90"/>
    <w:rsid w:val="005A0D29"/>
    <w:rsid w:val="005A0E3A"/>
    <w:rsid w:val="005A1018"/>
    <w:rsid w:val="005A11D9"/>
    <w:rsid w:val="005A1ADA"/>
    <w:rsid w:val="005A1F4A"/>
    <w:rsid w:val="005A301B"/>
    <w:rsid w:val="005A310F"/>
    <w:rsid w:val="005A3F08"/>
    <w:rsid w:val="005A3F98"/>
    <w:rsid w:val="005A4585"/>
    <w:rsid w:val="005A4670"/>
    <w:rsid w:val="005A49B3"/>
    <w:rsid w:val="005A4BE8"/>
    <w:rsid w:val="005A4CB6"/>
    <w:rsid w:val="005A5BAD"/>
    <w:rsid w:val="005A65D5"/>
    <w:rsid w:val="005A6628"/>
    <w:rsid w:val="005A6A36"/>
    <w:rsid w:val="005A6D23"/>
    <w:rsid w:val="005A740C"/>
    <w:rsid w:val="005A76F1"/>
    <w:rsid w:val="005A7AE5"/>
    <w:rsid w:val="005B0053"/>
    <w:rsid w:val="005B0385"/>
    <w:rsid w:val="005B080E"/>
    <w:rsid w:val="005B0AE2"/>
    <w:rsid w:val="005B109B"/>
    <w:rsid w:val="005B1CEE"/>
    <w:rsid w:val="005B2E52"/>
    <w:rsid w:val="005B2E66"/>
    <w:rsid w:val="005B32B2"/>
    <w:rsid w:val="005B36F9"/>
    <w:rsid w:val="005B44C9"/>
    <w:rsid w:val="005B5407"/>
    <w:rsid w:val="005B587B"/>
    <w:rsid w:val="005B6D3A"/>
    <w:rsid w:val="005B6F69"/>
    <w:rsid w:val="005B7979"/>
    <w:rsid w:val="005C04F7"/>
    <w:rsid w:val="005C1718"/>
    <w:rsid w:val="005C173A"/>
    <w:rsid w:val="005C2D0A"/>
    <w:rsid w:val="005C31DA"/>
    <w:rsid w:val="005C335F"/>
    <w:rsid w:val="005C36BB"/>
    <w:rsid w:val="005C40F2"/>
    <w:rsid w:val="005C54DA"/>
    <w:rsid w:val="005C5FE0"/>
    <w:rsid w:val="005C657D"/>
    <w:rsid w:val="005C68EA"/>
    <w:rsid w:val="005C6ABE"/>
    <w:rsid w:val="005C72F3"/>
    <w:rsid w:val="005C76A4"/>
    <w:rsid w:val="005C7F62"/>
    <w:rsid w:val="005D015A"/>
    <w:rsid w:val="005D053D"/>
    <w:rsid w:val="005D0BBE"/>
    <w:rsid w:val="005D1871"/>
    <w:rsid w:val="005D1C7F"/>
    <w:rsid w:val="005D2BBF"/>
    <w:rsid w:val="005D2EA8"/>
    <w:rsid w:val="005D3AAA"/>
    <w:rsid w:val="005D4D2A"/>
    <w:rsid w:val="005D50FE"/>
    <w:rsid w:val="005D52D6"/>
    <w:rsid w:val="005D659F"/>
    <w:rsid w:val="005D65A3"/>
    <w:rsid w:val="005D6DEA"/>
    <w:rsid w:val="005D7075"/>
    <w:rsid w:val="005D73F5"/>
    <w:rsid w:val="005D7BF7"/>
    <w:rsid w:val="005D7EF9"/>
    <w:rsid w:val="005E1B76"/>
    <w:rsid w:val="005E1D64"/>
    <w:rsid w:val="005E21A8"/>
    <w:rsid w:val="005E28A4"/>
    <w:rsid w:val="005E32AE"/>
    <w:rsid w:val="005E33A9"/>
    <w:rsid w:val="005E46B3"/>
    <w:rsid w:val="005E4A05"/>
    <w:rsid w:val="005E565A"/>
    <w:rsid w:val="005E57B8"/>
    <w:rsid w:val="005E5AF1"/>
    <w:rsid w:val="005E621B"/>
    <w:rsid w:val="005E6602"/>
    <w:rsid w:val="005E7D0E"/>
    <w:rsid w:val="005E7F76"/>
    <w:rsid w:val="005F01B9"/>
    <w:rsid w:val="005F0ADF"/>
    <w:rsid w:val="005F0EA1"/>
    <w:rsid w:val="005F1597"/>
    <w:rsid w:val="005F2259"/>
    <w:rsid w:val="005F24E2"/>
    <w:rsid w:val="005F2603"/>
    <w:rsid w:val="005F29BE"/>
    <w:rsid w:val="005F29EA"/>
    <w:rsid w:val="005F2C27"/>
    <w:rsid w:val="005F2E8C"/>
    <w:rsid w:val="005F4511"/>
    <w:rsid w:val="005F471D"/>
    <w:rsid w:val="005F4B62"/>
    <w:rsid w:val="005F4BF1"/>
    <w:rsid w:val="005F4DB0"/>
    <w:rsid w:val="005F5C11"/>
    <w:rsid w:val="005F5D23"/>
    <w:rsid w:val="005F5D3F"/>
    <w:rsid w:val="005F74A1"/>
    <w:rsid w:val="005F75FB"/>
    <w:rsid w:val="005F7720"/>
    <w:rsid w:val="006007F3"/>
    <w:rsid w:val="00601B0E"/>
    <w:rsid w:val="00601B95"/>
    <w:rsid w:val="00601CE4"/>
    <w:rsid w:val="00603E3E"/>
    <w:rsid w:val="00603E75"/>
    <w:rsid w:val="0060401A"/>
    <w:rsid w:val="006040E7"/>
    <w:rsid w:val="0060438B"/>
    <w:rsid w:val="00604705"/>
    <w:rsid w:val="00604936"/>
    <w:rsid w:val="00604DE4"/>
    <w:rsid w:val="00605128"/>
    <w:rsid w:val="006051C9"/>
    <w:rsid w:val="006052A0"/>
    <w:rsid w:val="006053A0"/>
    <w:rsid w:val="006056B0"/>
    <w:rsid w:val="00605CC5"/>
    <w:rsid w:val="00605CC8"/>
    <w:rsid w:val="00606C73"/>
    <w:rsid w:val="00606D77"/>
    <w:rsid w:val="00606FA8"/>
    <w:rsid w:val="0061006C"/>
    <w:rsid w:val="00610DAF"/>
    <w:rsid w:val="00612058"/>
    <w:rsid w:val="0061218D"/>
    <w:rsid w:val="00612272"/>
    <w:rsid w:val="00612324"/>
    <w:rsid w:val="0061293C"/>
    <w:rsid w:val="00613199"/>
    <w:rsid w:val="00614A71"/>
    <w:rsid w:val="00614D59"/>
    <w:rsid w:val="00615E57"/>
    <w:rsid w:val="0061617D"/>
    <w:rsid w:val="00616267"/>
    <w:rsid w:val="006166F5"/>
    <w:rsid w:val="006176ED"/>
    <w:rsid w:val="006200F0"/>
    <w:rsid w:val="00620744"/>
    <w:rsid w:val="00620C8C"/>
    <w:rsid w:val="006214BD"/>
    <w:rsid w:val="00621786"/>
    <w:rsid w:val="006217C7"/>
    <w:rsid w:val="006229D8"/>
    <w:rsid w:val="00623726"/>
    <w:rsid w:val="00623C78"/>
    <w:rsid w:val="006247EF"/>
    <w:rsid w:val="00625274"/>
    <w:rsid w:val="0062548E"/>
    <w:rsid w:val="00625A22"/>
    <w:rsid w:val="00625ADF"/>
    <w:rsid w:val="006264AC"/>
    <w:rsid w:val="0062729A"/>
    <w:rsid w:val="00627424"/>
    <w:rsid w:val="0063049C"/>
    <w:rsid w:val="00630D08"/>
    <w:rsid w:val="0063106E"/>
    <w:rsid w:val="00632493"/>
    <w:rsid w:val="00633FA9"/>
    <w:rsid w:val="006347CF"/>
    <w:rsid w:val="00634AE8"/>
    <w:rsid w:val="00634DA0"/>
    <w:rsid w:val="006362F3"/>
    <w:rsid w:val="00636684"/>
    <w:rsid w:val="0063679C"/>
    <w:rsid w:val="0063682F"/>
    <w:rsid w:val="00636FBD"/>
    <w:rsid w:val="00637977"/>
    <w:rsid w:val="00637C04"/>
    <w:rsid w:val="00637E98"/>
    <w:rsid w:val="00637FC1"/>
    <w:rsid w:val="00640097"/>
    <w:rsid w:val="006403D8"/>
    <w:rsid w:val="00640958"/>
    <w:rsid w:val="00640F12"/>
    <w:rsid w:val="00643526"/>
    <w:rsid w:val="0064389C"/>
    <w:rsid w:val="00644899"/>
    <w:rsid w:val="00645AC7"/>
    <w:rsid w:val="00645AD5"/>
    <w:rsid w:val="00645AE5"/>
    <w:rsid w:val="006462B9"/>
    <w:rsid w:val="00646A57"/>
    <w:rsid w:val="00646CD1"/>
    <w:rsid w:val="00647072"/>
    <w:rsid w:val="00647969"/>
    <w:rsid w:val="00650444"/>
    <w:rsid w:val="006508FA"/>
    <w:rsid w:val="00651CF8"/>
    <w:rsid w:val="00652451"/>
    <w:rsid w:val="0065283F"/>
    <w:rsid w:val="00652F12"/>
    <w:rsid w:val="0065309D"/>
    <w:rsid w:val="00653984"/>
    <w:rsid w:val="00653DAC"/>
    <w:rsid w:val="006541DD"/>
    <w:rsid w:val="00654410"/>
    <w:rsid w:val="006548C2"/>
    <w:rsid w:val="0065569D"/>
    <w:rsid w:val="0065583D"/>
    <w:rsid w:val="00655955"/>
    <w:rsid w:val="00656425"/>
    <w:rsid w:val="006567B4"/>
    <w:rsid w:val="006567CB"/>
    <w:rsid w:val="00656977"/>
    <w:rsid w:val="00656F49"/>
    <w:rsid w:val="00657F63"/>
    <w:rsid w:val="0066017F"/>
    <w:rsid w:val="0066056C"/>
    <w:rsid w:val="00660923"/>
    <w:rsid w:val="00660C99"/>
    <w:rsid w:val="00661296"/>
    <w:rsid w:val="006618AB"/>
    <w:rsid w:val="00661EC1"/>
    <w:rsid w:val="0066201A"/>
    <w:rsid w:val="00662242"/>
    <w:rsid w:val="006639B7"/>
    <w:rsid w:val="0066490D"/>
    <w:rsid w:val="00664B3B"/>
    <w:rsid w:val="0066586F"/>
    <w:rsid w:val="00666445"/>
    <w:rsid w:val="006664D1"/>
    <w:rsid w:val="00666783"/>
    <w:rsid w:val="00667431"/>
    <w:rsid w:val="00667AAA"/>
    <w:rsid w:val="00667AE4"/>
    <w:rsid w:val="00667C0F"/>
    <w:rsid w:val="00667DB8"/>
    <w:rsid w:val="00670F0A"/>
    <w:rsid w:val="00671BA1"/>
    <w:rsid w:val="00672F83"/>
    <w:rsid w:val="00673178"/>
    <w:rsid w:val="0067338E"/>
    <w:rsid w:val="00674856"/>
    <w:rsid w:val="00675196"/>
    <w:rsid w:val="006751DC"/>
    <w:rsid w:val="00675B62"/>
    <w:rsid w:val="00675C7D"/>
    <w:rsid w:val="00675FB6"/>
    <w:rsid w:val="0067748C"/>
    <w:rsid w:val="006779E6"/>
    <w:rsid w:val="00677A67"/>
    <w:rsid w:val="00677E3B"/>
    <w:rsid w:val="00680EB0"/>
    <w:rsid w:val="00681FFB"/>
    <w:rsid w:val="00682431"/>
    <w:rsid w:val="006824A9"/>
    <w:rsid w:val="006827F0"/>
    <w:rsid w:val="006836D3"/>
    <w:rsid w:val="00683728"/>
    <w:rsid w:val="006840E6"/>
    <w:rsid w:val="006843A9"/>
    <w:rsid w:val="00684C02"/>
    <w:rsid w:val="00685657"/>
    <w:rsid w:val="00685807"/>
    <w:rsid w:val="006858D5"/>
    <w:rsid w:val="006861F6"/>
    <w:rsid w:val="00686AAE"/>
    <w:rsid w:val="00686D5F"/>
    <w:rsid w:val="00687165"/>
    <w:rsid w:val="0068771E"/>
    <w:rsid w:val="00690805"/>
    <w:rsid w:val="00690895"/>
    <w:rsid w:val="00690F6B"/>
    <w:rsid w:val="00690F7A"/>
    <w:rsid w:val="00691213"/>
    <w:rsid w:val="00691ED4"/>
    <w:rsid w:val="0069318E"/>
    <w:rsid w:val="0069491E"/>
    <w:rsid w:val="00694DD5"/>
    <w:rsid w:val="00695AA4"/>
    <w:rsid w:val="00695D91"/>
    <w:rsid w:val="00696768"/>
    <w:rsid w:val="00696D39"/>
    <w:rsid w:val="00696E77"/>
    <w:rsid w:val="00697961"/>
    <w:rsid w:val="00697A9E"/>
    <w:rsid w:val="00697E5B"/>
    <w:rsid w:val="006A0C2E"/>
    <w:rsid w:val="006A156A"/>
    <w:rsid w:val="006A1857"/>
    <w:rsid w:val="006A1C27"/>
    <w:rsid w:val="006A1C92"/>
    <w:rsid w:val="006A1F5F"/>
    <w:rsid w:val="006A246F"/>
    <w:rsid w:val="006A2CBB"/>
    <w:rsid w:val="006A31C2"/>
    <w:rsid w:val="006A3C59"/>
    <w:rsid w:val="006A3CDA"/>
    <w:rsid w:val="006A3EB7"/>
    <w:rsid w:val="006A42D7"/>
    <w:rsid w:val="006A5033"/>
    <w:rsid w:val="006A51A7"/>
    <w:rsid w:val="006A600A"/>
    <w:rsid w:val="006A63E9"/>
    <w:rsid w:val="006A6735"/>
    <w:rsid w:val="006A6765"/>
    <w:rsid w:val="006A6BB6"/>
    <w:rsid w:val="006A7FAB"/>
    <w:rsid w:val="006B0150"/>
    <w:rsid w:val="006B13C6"/>
    <w:rsid w:val="006B195A"/>
    <w:rsid w:val="006B198D"/>
    <w:rsid w:val="006B1D6A"/>
    <w:rsid w:val="006B260E"/>
    <w:rsid w:val="006B2AE4"/>
    <w:rsid w:val="006B2AFC"/>
    <w:rsid w:val="006B346C"/>
    <w:rsid w:val="006B3885"/>
    <w:rsid w:val="006B4DAC"/>
    <w:rsid w:val="006B4ECA"/>
    <w:rsid w:val="006B57AE"/>
    <w:rsid w:val="006B5ABD"/>
    <w:rsid w:val="006B6805"/>
    <w:rsid w:val="006B6831"/>
    <w:rsid w:val="006B6D52"/>
    <w:rsid w:val="006B7F8F"/>
    <w:rsid w:val="006C0130"/>
    <w:rsid w:val="006C075C"/>
    <w:rsid w:val="006C1549"/>
    <w:rsid w:val="006C1735"/>
    <w:rsid w:val="006C1BDB"/>
    <w:rsid w:val="006C2046"/>
    <w:rsid w:val="006C2445"/>
    <w:rsid w:val="006C279B"/>
    <w:rsid w:val="006C2F86"/>
    <w:rsid w:val="006C329C"/>
    <w:rsid w:val="006C3F25"/>
    <w:rsid w:val="006C4DF2"/>
    <w:rsid w:val="006C57C3"/>
    <w:rsid w:val="006C5B35"/>
    <w:rsid w:val="006C5DC0"/>
    <w:rsid w:val="006C6009"/>
    <w:rsid w:val="006C6BAF"/>
    <w:rsid w:val="006D0203"/>
    <w:rsid w:val="006D02B4"/>
    <w:rsid w:val="006D052A"/>
    <w:rsid w:val="006D0BF3"/>
    <w:rsid w:val="006D145B"/>
    <w:rsid w:val="006D2774"/>
    <w:rsid w:val="006D3016"/>
    <w:rsid w:val="006D304A"/>
    <w:rsid w:val="006D31AA"/>
    <w:rsid w:val="006D4176"/>
    <w:rsid w:val="006D422D"/>
    <w:rsid w:val="006D4AA5"/>
    <w:rsid w:val="006D53D5"/>
    <w:rsid w:val="006D5BB5"/>
    <w:rsid w:val="006D5F53"/>
    <w:rsid w:val="006D6051"/>
    <w:rsid w:val="006D780C"/>
    <w:rsid w:val="006D7B2C"/>
    <w:rsid w:val="006E01CF"/>
    <w:rsid w:val="006E0604"/>
    <w:rsid w:val="006E0BD5"/>
    <w:rsid w:val="006E0D58"/>
    <w:rsid w:val="006E106D"/>
    <w:rsid w:val="006E18C4"/>
    <w:rsid w:val="006E194B"/>
    <w:rsid w:val="006E240C"/>
    <w:rsid w:val="006E2DA0"/>
    <w:rsid w:val="006E4308"/>
    <w:rsid w:val="006E4EB1"/>
    <w:rsid w:val="006E502B"/>
    <w:rsid w:val="006E56ED"/>
    <w:rsid w:val="006E5CB4"/>
    <w:rsid w:val="006E62C7"/>
    <w:rsid w:val="006E6835"/>
    <w:rsid w:val="006E6B0C"/>
    <w:rsid w:val="006E6D6C"/>
    <w:rsid w:val="006E7222"/>
    <w:rsid w:val="006F0D32"/>
    <w:rsid w:val="006F14E8"/>
    <w:rsid w:val="006F1599"/>
    <w:rsid w:val="006F23B6"/>
    <w:rsid w:val="006F24E3"/>
    <w:rsid w:val="006F25A7"/>
    <w:rsid w:val="006F329B"/>
    <w:rsid w:val="006F3357"/>
    <w:rsid w:val="006F3BAB"/>
    <w:rsid w:val="006F4B4B"/>
    <w:rsid w:val="006F5125"/>
    <w:rsid w:val="006F5467"/>
    <w:rsid w:val="006F5F1D"/>
    <w:rsid w:val="006F65A1"/>
    <w:rsid w:val="006F660C"/>
    <w:rsid w:val="006F6890"/>
    <w:rsid w:val="006F6BCE"/>
    <w:rsid w:val="006F6C8E"/>
    <w:rsid w:val="006F7C95"/>
    <w:rsid w:val="006F7CAC"/>
    <w:rsid w:val="00700392"/>
    <w:rsid w:val="00701C4A"/>
    <w:rsid w:val="00701F23"/>
    <w:rsid w:val="00701F66"/>
    <w:rsid w:val="0070239E"/>
    <w:rsid w:val="007023CB"/>
    <w:rsid w:val="00702763"/>
    <w:rsid w:val="00702A0F"/>
    <w:rsid w:val="00703402"/>
    <w:rsid w:val="00703480"/>
    <w:rsid w:val="007036D7"/>
    <w:rsid w:val="00703DC5"/>
    <w:rsid w:val="00704D63"/>
    <w:rsid w:val="00705014"/>
    <w:rsid w:val="0070535C"/>
    <w:rsid w:val="007058A5"/>
    <w:rsid w:val="00705A26"/>
    <w:rsid w:val="00707000"/>
    <w:rsid w:val="007078AA"/>
    <w:rsid w:val="00707DAF"/>
    <w:rsid w:val="007107DE"/>
    <w:rsid w:val="00711478"/>
    <w:rsid w:val="007115D4"/>
    <w:rsid w:val="007117FF"/>
    <w:rsid w:val="00711AF5"/>
    <w:rsid w:val="007127BE"/>
    <w:rsid w:val="007133F4"/>
    <w:rsid w:val="00713523"/>
    <w:rsid w:val="00714206"/>
    <w:rsid w:val="00714810"/>
    <w:rsid w:val="00714EDC"/>
    <w:rsid w:val="00715024"/>
    <w:rsid w:val="007151CE"/>
    <w:rsid w:val="0071561B"/>
    <w:rsid w:val="00715FFC"/>
    <w:rsid w:val="00716566"/>
    <w:rsid w:val="00716AB1"/>
    <w:rsid w:val="00716FD9"/>
    <w:rsid w:val="00717B17"/>
    <w:rsid w:val="0072130E"/>
    <w:rsid w:val="007219D6"/>
    <w:rsid w:val="007219F1"/>
    <w:rsid w:val="00721D88"/>
    <w:rsid w:val="00722026"/>
    <w:rsid w:val="00722D36"/>
    <w:rsid w:val="0072351B"/>
    <w:rsid w:val="0072364F"/>
    <w:rsid w:val="00723888"/>
    <w:rsid w:val="00723B9D"/>
    <w:rsid w:val="00723EA4"/>
    <w:rsid w:val="007249F2"/>
    <w:rsid w:val="00725108"/>
    <w:rsid w:val="00725136"/>
    <w:rsid w:val="0072521E"/>
    <w:rsid w:val="00725443"/>
    <w:rsid w:val="00726F8F"/>
    <w:rsid w:val="0072792A"/>
    <w:rsid w:val="00727F7B"/>
    <w:rsid w:val="00730390"/>
    <w:rsid w:val="0073107A"/>
    <w:rsid w:val="00732F91"/>
    <w:rsid w:val="007341E3"/>
    <w:rsid w:val="00734740"/>
    <w:rsid w:val="007348E3"/>
    <w:rsid w:val="0073559D"/>
    <w:rsid w:val="007355DA"/>
    <w:rsid w:val="00735776"/>
    <w:rsid w:val="00735CF1"/>
    <w:rsid w:val="00735F12"/>
    <w:rsid w:val="00736CB7"/>
    <w:rsid w:val="00736D25"/>
    <w:rsid w:val="00737635"/>
    <w:rsid w:val="007403E2"/>
    <w:rsid w:val="00740D8E"/>
    <w:rsid w:val="00740DD7"/>
    <w:rsid w:val="0074153C"/>
    <w:rsid w:val="007418B0"/>
    <w:rsid w:val="00741A36"/>
    <w:rsid w:val="00741D66"/>
    <w:rsid w:val="00741DB6"/>
    <w:rsid w:val="007426B3"/>
    <w:rsid w:val="00744BBB"/>
    <w:rsid w:val="00744E5D"/>
    <w:rsid w:val="007457E0"/>
    <w:rsid w:val="00745C39"/>
    <w:rsid w:val="007462FE"/>
    <w:rsid w:val="007467B7"/>
    <w:rsid w:val="007469F1"/>
    <w:rsid w:val="00746A77"/>
    <w:rsid w:val="007473F9"/>
    <w:rsid w:val="00747697"/>
    <w:rsid w:val="00750F86"/>
    <w:rsid w:val="00751451"/>
    <w:rsid w:val="00751C59"/>
    <w:rsid w:val="00751D1A"/>
    <w:rsid w:val="00751EB6"/>
    <w:rsid w:val="007520C3"/>
    <w:rsid w:val="00752753"/>
    <w:rsid w:val="007529E1"/>
    <w:rsid w:val="00753E1C"/>
    <w:rsid w:val="007544F4"/>
    <w:rsid w:val="00755716"/>
    <w:rsid w:val="00755917"/>
    <w:rsid w:val="00756200"/>
    <w:rsid w:val="00757208"/>
    <w:rsid w:val="00757685"/>
    <w:rsid w:val="00757824"/>
    <w:rsid w:val="00761707"/>
    <w:rsid w:val="00761C85"/>
    <w:rsid w:val="00762143"/>
    <w:rsid w:val="00762292"/>
    <w:rsid w:val="0076267C"/>
    <w:rsid w:val="00762AA6"/>
    <w:rsid w:val="00763427"/>
    <w:rsid w:val="00763A95"/>
    <w:rsid w:val="00763BFA"/>
    <w:rsid w:val="00763C26"/>
    <w:rsid w:val="00763EE3"/>
    <w:rsid w:val="00763FC3"/>
    <w:rsid w:val="007640BB"/>
    <w:rsid w:val="0076415C"/>
    <w:rsid w:val="007649A7"/>
    <w:rsid w:val="00765A11"/>
    <w:rsid w:val="00766A21"/>
    <w:rsid w:val="00766CE7"/>
    <w:rsid w:val="007672A6"/>
    <w:rsid w:val="00767C63"/>
    <w:rsid w:val="00771563"/>
    <w:rsid w:val="00771839"/>
    <w:rsid w:val="00771B22"/>
    <w:rsid w:val="00771EA5"/>
    <w:rsid w:val="00772097"/>
    <w:rsid w:val="007721EB"/>
    <w:rsid w:val="00772796"/>
    <w:rsid w:val="00772C10"/>
    <w:rsid w:val="00773EE3"/>
    <w:rsid w:val="00774335"/>
    <w:rsid w:val="007746C6"/>
    <w:rsid w:val="007771F6"/>
    <w:rsid w:val="007773CB"/>
    <w:rsid w:val="007777C3"/>
    <w:rsid w:val="00777C1F"/>
    <w:rsid w:val="00780881"/>
    <w:rsid w:val="00780CDC"/>
    <w:rsid w:val="0078132D"/>
    <w:rsid w:val="007813FB"/>
    <w:rsid w:val="00781F61"/>
    <w:rsid w:val="007823B8"/>
    <w:rsid w:val="00782512"/>
    <w:rsid w:val="00782926"/>
    <w:rsid w:val="0078396C"/>
    <w:rsid w:val="00784600"/>
    <w:rsid w:val="007851EE"/>
    <w:rsid w:val="00785AE1"/>
    <w:rsid w:val="007863C4"/>
    <w:rsid w:val="007868B9"/>
    <w:rsid w:val="00786E9C"/>
    <w:rsid w:val="00787560"/>
    <w:rsid w:val="00790419"/>
    <w:rsid w:val="00790708"/>
    <w:rsid w:val="007909C9"/>
    <w:rsid w:val="00790B6C"/>
    <w:rsid w:val="00790C33"/>
    <w:rsid w:val="007928AB"/>
    <w:rsid w:val="00793466"/>
    <w:rsid w:val="0079363F"/>
    <w:rsid w:val="00793A3C"/>
    <w:rsid w:val="00794C50"/>
    <w:rsid w:val="00794D38"/>
    <w:rsid w:val="00795566"/>
    <w:rsid w:val="00795791"/>
    <w:rsid w:val="0079582E"/>
    <w:rsid w:val="00795A61"/>
    <w:rsid w:val="00795D6B"/>
    <w:rsid w:val="00796440"/>
    <w:rsid w:val="007971F8"/>
    <w:rsid w:val="00797DDE"/>
    <w:rsid w:val="007A006E"/>
    <w:rsid w:val="007A0C82"/>
    <w:rsid w:val="007A1142"/>
    <w:rsid w:val="007A1589"/>
    <w:rsid w:val="007A1BA4"/>
    <w:rsid w:val="007A1DA6"/>
    <w:rsid w:val="007A295D"/>
    <w:rsid w:val="007A360D"/>
    <w:rsid w:val="007A3BE9"/>
    <w:rsid w:val="007A515F"/>
    <w:rsid w:val="007A5226"/>
    <w:rsid w:val="007A58D4"/>
    <w:rsid w:val="007A6F79"/>
    <w:rsid w:val="007A78A7"/>
    <w:rsid w:val="007A7FDA"/>
    <w:rsid w:val="007B0128"/>
    <w:rsid w:val="007B09A0"/>
    <w:rsid w:val="007B0A74"/>
    <w:rsid w:val="007B17CC"/>
    <w:rsid w:val="007B2148"/>
    <w:rsid w:val="007B2836"/>
    <w:rsid w:val="007B3047"/>
    <w:rsid w:val="007B3D00"/>
    <w:rsid w:val="007B4574"/>
    <w:rsid w:val="007B45E2"/>
    <w:rsid w:val="007B4839"/>
    <w:rsid w:val="007B4DB5"/>
    <w:rsid w:val="007B5458"/>
    <w:rsid w:val="007B5647"/>
    <w:rsid w:val="007B580A"/>
    <w:rsid w:val="007B72A0"/>
    <w:rsid w:val="007B7391"/>
    <w:rsid w:val="007B759E"/>
    <w:rsid w:val="007B799D"/>
    <w:rsid w:val="007B7C2B"/>
    <w:rsid w:val="007C0527"/>
    <w:rsid w:val="007C144B"/>
    <w:rsid w:val="007C14AD"/>
    <w:rsid w:val="007C1FBC"/>
    <w:rsid w:val="007C3504"/>
    <w:rsid w:val="007C3C99"/>
    <w:rsid w:val="007C5555"/>
    <w:rsid w:val="007C5DFE"/>
    <w:rsid w:val="007C6A5B"/>
    <w:rsid w:val="007C7072"/>
    <w:rsid w:val="007C71FB"/>
    <w:rsid w:val="007C7788"/>
    <w:rsid w:val="007D042B"/>
    <w:rsid w:val="007D082F"/>
    <w:rsid w:val="007D1181"/>
    <w:rsid w:val="007D1846"/>
    <w:rsid w:val="007D1A53"/>
    <w:rsid w:val="007D1A90"/>
    <w:rsid w:val="007D1EE7"/>
    <w:rsid w:val="007D3C75"/>
    <w:rsid w:val="007D4590"/>
    <w:rsid w:val="007D4952"/>
    <w:rsid w:val="007D4A0B"/>
    <w:rsid w:val="007D51A8"/>
    <w:rsid w:val="007D55F7"/>
    <w:rsid w:val="007D58E8"/>
    <w:rsid w:val="007D5CA4"/>
    <w:rsid w:val="007D5DA5"/>
    <w:rsid w:val="007D6AD5"/>
    <w:rsid w:val="007D7903"/>
    <w:rsid w:val="007E024E"/>
    <w:rsid w:val="007E36A3"/>
    <w:rsid w:val="007E4CF4"/>
    <w:rsid w:val="007E5B0F"/>
    <w:rsid w:val="007E7813"/>
    <w:rsid w:val="007F0087"/>
    <w:rsid w:val="007F04A3"/>
    <w:rsid w:val="007F04F8"/>
    <w:rsid w:val="007F0599"/>
    <w:rsid w:val="007F22AE"/>
    <w:rsid w:val="007F2595"/>
    <w:rsid w:val="007F347D"/>
    <w:rsid w:val="007F4097"/>
    <w:rsid w:val="007F472D"/>
    <w:rsid w:val="007F490C"/>
    <w:rsid w:val="007F59FD"/>
    <w:rsid w:val="007F5B27"/>
    <w:rsid w:val="007F5CD3"/>
    <w:rsid w:val="007F6288"/>
    <w:rsid w:val="007F66C0"/>
    <w:rsid w:val="007F67D7"/>
    <w:rsid w:val="007F6A89"/>
    <w:rsid w:val="007F7882"/>
    <w:rsid w:val="007F7C23"/>
    <w:rsid w:val="007F7D5C"/>
    <w:rsid w:val="00800399"/>
    <w:rsid w:val="00800D57"/>
    <w:rsid w:val="0080193E"/>
    <w:rsid w:val="00802189"/>
    <w:rsid w:val="008025BC"/>
    <w:rsid w:val="00802600"/>
    <w:rsid w:val="008027A9"/>
    <w:rsid w:val="00802B02"/>
    <w:rsid w:val="00802B24"/>
    <w:rsid w:val="008036B2"/>
    <w:rsid w:val="00803949"/>
    <w:rsid w:val="0080473D"/>
    <w:rsid w:val="00804E24"/>
    <w:rsid w:val="008053C4"/>
    <w:rsid w:val="00805569"/>
    <w:rsid w:val="008056AA"/>
    <w:rsid w:val="008058E5"/>
    <w:rsid w:val="00805973"/>
    <w:rsid w:val="00805ECB"/>
    <w:rsid w:val="00805FDD"/>
    <w:rsid w:val="00806342"/>
    <w:rsid w:val="00806EE9"/>
    <w:rsid w:val="0080787E"/>
    <w:rsid w:val="00807DA8"/>
    <w:rsid w:val="00807F46"/>
    <w:rsid w:val="0081008D"/>
    <w:rsid w:val="00810194"/>
    <w:rsid w:val="00810C1E"/>
    <w:rsid w:val="0081115B"/>
    <w:rsid w:val="00811BD8"/>
    <w:rsid w:val="00812447"/>
    <w:rsid w:val="00812615"/>
    <w:rsid w:val="008126F5"/>
    <w:rsid w:val="0081280D"/>
    <w:rsid w:val="00812E02"/>
    <w:rsid w:val="00812E6F"/>
    <w:rsid w:val="00814310"/>
    <w:rsid w:val="008148BE"/>
    <w:rsid w:val="008148EE"/>
    <w:rsid w:val="00814A39"/>
    <w:rsid w:val="00816620"/>
    <w:rsid w:val="00816CEF"/>
    <w:rsid w:val="00817146"/>
    <w:rsid w:val="008177E0"/>
    <w:rsid w:val="00817DD5"/>
    <w:rsid w:val="00820620"/>
    <w:rsid w:val="00820C3C"/>
    <w:rsid w:val="008217CA"/>
    <w:rsid w:val="00821A8E"/>
    <w:rsid w:val="00821AE2"/>
    <w:rsid w:val="00821DB3"/>
    <w:rsid w:val="008220E9"/>
    <w:rsid w:val="008224E9"/>
    <w:rsid w:val="00824377"/>
    <w:rsid w:val="00824C54"/>
    <w:rsid w:val="008250C0"/>
    <w:rsid w:val="00825E4B"/>
    <w:rsid w:val="00826AAB"/>
    <w:rsid w:val="00826EDB"/>
    <w:rsid w:val="0082775B"/>
    <w:rsid w:val="008279CB"/>
    <w:rsid w:val="00830093"/>
    <w:rsid w:val="008301F3"/>
    <w:rsid w:val="008304EA"/>
    <w:rsid w:val="0083198F"/>
    <w:rsid w:val="00831E4D"/>
    <w:rsid w:val="00832C64"/>
    <w:rsid w:val="00832C99"/>
    <w:rsid w:val="008356CC"/>
    <w:rsid w:val="00836529"/>
    <w:rsid w:val="00836B52"/>
    <w:rsid w:val="008370E4"/>
    <w:rsid w:val="0084000D"/>
    <w:rsid w:val="0084086D"/>
    <w:rsid w:val="00840942"/>
    <w:rsid w:val="00840CFD"/>
    <w:rsid w:val="0084111E"/>
    <w:rsid w:val="008419C8"/>
    <w:rsid w:val="00841B02"/>
    <w:rsid w:val="00842726"/>
    <w:rsid w:val="008427D5"/>
    <w:rsid w:val="008435FE"/>
    <w:rsid w:val="00843987"/>
    <w:rsid w:val="008443B4"/>
    <w:rsid w:val="008447E2"/>
    <w:rsid w:val="008450DA"/>
    <w:rsid w:val="0084578B"/>
    <w:rsid w:val="008464B8"/>
    <w:rsid w:val="008504A4"/>
    <w:rsid w:val="00850FCA"/>
    <w:rsid w:val="00851276"/>
    <w:rsid w:val="008517A2"/>
    <w:rsid w:val="008518CD"/>
    <w:rsid w:val="008519C6"/>
    <w:rsid w:val="00851E7B"/>
    <w:rsid w:val="00852EE9"/>
    <w:rsid w:val="00853812"/>
    <w:rsid w:val="00853B16"/>
    <w:rsid w:val="008549D2"/>
    <w:rsid w:val="00855FF9"/>
    <w:rsid w:val="0085633D"/>
    <w:rsid w:val="008566DA"/>
    <w:rsid w:val="0086035E"/>
    <w:rsid w:val="008609E5"/>
    <w:rsid w:val="00860DEA"/>
    <w:rsid w:val="00861143"/>
    <w:rsid w:val="00861877"/>
    <w:rsid w:val="00861CFC"/>
    <w:rsid w:val="00861E7E"/>
    <w:rsid w:val="00861FF0"/>
    <w:rsid w:val="00862648"/>
    <w:rsid w:val="008628E9"/>
    <w:rsid w:val="00862A23"/>
    <w:rsid w:val="00862D00"/>
    <w:rsid w:val="008631A4"/>
    <w:rsid w:val="008633C9"/>
    <w:rsid w:val="0086399B"/>
    <w:rsid w:val="00864300"/>
    <w:rsid w:val="00864D90"/>
    <w:rsid w:val="00864EEB"/>
    <w:rsid w:val="00864FFF"/>
    <w:rsid w:val="00865164"/>
    <w:rsid w:val="008664B2"/>
    <w:rsid w:val="008666AF"/>
    <w:rsid w:val="00866931"/>
    <w:rsid w:val="008674B5"/>
    <w:rsid w:val="00867876"/>
    <w:rsid w:val="00867ABE"/>
    <w:rsid w:val="00867B4F"/>
    <w:rsid w:val="00867BEE"/>
    <w:rsid w:val="008707C4"/>
    <w:rsid w:val="00870C9E"/>
    <w:rsid w:val="00871422"/>
    <w:rsid w:val="00871810"/>
    <w:rsid w:val="008721F8"/>
    <w:rsid w:val="00872E03"/>
    <w:rsid w:val="00875061"/>
    <w:rsid w:val="008755BF"/>
    <w:rsid w:val="00876434"/>
    <w:rsid w:val="00876863"/>
    <w:rsid w:val="0087689D"/>
    <w:rsid w:val="00876A26"/>
    <w:rsid w:val="00877089"/>
    <w:rsid w:val="00877EF6"/>
    <w:rsid w:val="00880068"/>
    <w:rsid w:val="00881B9F"/>
    <w:rsid w:val="0088298C"/>
    <w:rsid w:val="00883022"/>
    <w:rsid w:val="00883286"/>
    <w:rsid w:val="00883492"/>
    <w:rsid w:val="00883728"/>
    <w:rsid w:val="00883ED5"/>
    <w:rsid w:val="00884356"/>
    <w:rsid w:val="008853D0"/>
    <w:rsid w:val="0088560B"/>
    <w:rsid w:val="00885989"/>
    <w:rsid w:val="00885B93"/>
    <w:rsid w:val="00885D8F"/>
    <w:rsid w:val="00885FDB"/>
    <w:rsid w:val="008871EB"/>
    <w:rsid w:val="008873F5"/>
    <w:rsid w:val="008878E2"/>
    <w:rsid w:val="00887FC9"/>
    <w:rsid w:val="00890920"/>
    <w:rsid w:val="00890EE2"/>
    <w:rsid w:val="0089146E"/>
    <w:rsid w:val="00891BEC"/>
    <w:rsid w:val="008921E7"/>
    <w:rsid w:val="00892E10"/>
    <w:rsid w:val="0089338F"/>
    <w:rsid w:val="00893513"/>
    <w:rsid w:val="00893C7C"/>
    <w:rsid w:val="008969AD"/>
    <w:rsid w:val="00896A34"/>
    <w:rsid w:val="00897025"/>
    <w:rsid w:val="00897211"/>
    <w:rsid w:val="00897406"/>
    <w:rsid w:val="008974AE"/>
    <w:rsid w:val="008A0213"/>
    <w:rsid w:val="008A0527"/>
    <w:rsid w:val="008A1870"/>
    <w:rsid w:val="008A192E"/>
    <w:rsid w:val="008A4620"/>
    <w:rsid w:val="008A4A27"/>
    <w:rsid w:val="008A5AA7"/>
    <w:rsid w:val="008A6060"/>
    <w:rsid w:val="008A60E7"/>
    <w:rsid w:val="008A6B32"/>
    <w:rsid w:val="008A6CED"/>
    <w:rsid w:val="008A7339"/>
    <w:rsid w:val="008A7AE0"/>
    <w:rsid w:val="008B0461"/>
    <w:rsid w:val="008B0D82"/>
    <w:rsid w:val="008B1BD5"/>
    <w:rsid w:val="008B1DAD"/>
    <w:rsid w:val="008B2035"/>
    <w:rsid w:val="008B24D4"/>
    <w:rsid w:val="008B26F8"/>
    <w:rsid w:val="008B2AF3"/>
    <w:rsid w:val="008B2C9B"/>
    <w:rsid w:val="008B2F0C"/>
    <w:rsid w:val="008B4EAD"/>
    <w:rsid w:val="008B5753"/>
    <w:rsid w:val="008B58DF"/>
    <w:rsid w:val="008B5FE0"/>
    <w:rsid w:val="008B61AF"/>
    <w:rsid w:val="008B6545"/>
    <w:rsid w:val="008B697B"/>
    <w:rsid w:val="008B73D3"/>
    <w:rsid w:val="008B78E3"/>
    <w:rsid w:val="008B7C27"/>
    <w:rsid w:val="008C035F"/>
    <w:rsid w:val="008C12E6"/>
    <w:rsid w:val="008C15A3"/>
    <w:rsid w:val="008C2052"/>
    <w:rsid w:val="008C224D"/>
    <w:rsid w:val="008C22C1"/>
    <w:rsid w:val="008C2F53"/>
    <w:rsid w:val="008C321D"/>
    <w:rsid w:val="008C3484"/>
    <w:rsid w:val="008C4073"/>
    <w:rsid w:val="008C4978"/>
    <w:rsid w:val="008C4ED8"/>
    <w:rsid w:val="008C5A7C"/>
    <w:rsid w:val="008C6576"/>
    <w:rsid w:val="008C7506"/>
    <w:rsid w:val="008C76ED"/>
    <w:rsid w:val="008C7AEF"/>
    <w:rsid w:val="008C7F73"/>
    <w:rsid w:val="008C7F91"/>
    <w:rsid w:val="008D0A05"/>
    <w:rsid w:val="008D114F"/>
    <w:rsid w:val="008D1477"/>
    <w:rsid w:val="008D1EC9"/>
    <w:rsid w:val="008D2A93"/>
    <w:rsid w:val="008D3BDA"/>
    <w:rsid w:val="008D41E4"/>
    <w:rsid w:val="008D43DC"/>
    <w:rsid w:val="008D4F09"/>
    <w:rsid w:val="008D5501"/>
    <w:rsid w:val="008D67BC"/>
    <w:rsid w:val="008E0102"/>
    <w:rsid w:val="008E059D"/>
    <w:rsid w:val="008E0808"/>
    <w:rsid w:val="008E0E02"/>
    <w:rsid w:val="008E1130"/>
    <w:rsid w:val="008E14AA"/>
    <w:rsid w:val="008E1558"/>
    <w:rsid w:val="008E176B"/>
    <w:rsid w:val="008E2373"/>
    <w:rsid w:val="008E2C7B"/>
    <w:rsid w:val="008E2FAE"/>
    <w:rsid w:val="008E3919"/>
    <w:rsid w:val="008E4541"/>
    <w:rsid w:val="008E47E0"/>
    <w:rsid w:val="008E53B8"/>
    <w:rsid w:val="008E5D7D"/>
    <w:rsid w:val="008E6D4C"/>
    <w:rsid w:val="008E7185"/>
    <w:rsid w:val="008E7688"/>
    <w:rsid w:val="008E7731"/>
    <w:rsid w:val="008E7A56"/>
    <w:rsid w:val="008F0292"/>
    <w:rsid w:val="008F074E"/>
    <w:rsid w:val="008F0FDB"/>
    <w:rsid w:val="008F12F7"/>
    <w:rsid w:val="008F1C32"/>
    <w:rsid w:val="008F279E"/>
    <w:rsid w:val="008F328E"/>
    <w:rsid w:val="008F334E"/>
    <w:rsid w:val="008F3BAA"/>
    <w:rsid w:val="008F3CB8"/>
    <w:rsid w:val="008F47DE"/>
    <w:rsid w:val="008F504C"/>
    <w:rsid w:val="008F5368"/>
    <w:rsid w:val="008F54A4"/>
    <w:rsid w:val="008F58C2"/>
    <w:rsid w:val="008F64C9"/>
    <w:rsid w:val="008F68C5"/>
    <w:rsid w:val="008F736C"/>
    <w:rsid w:val="00900021"/>
    <w:rsid w:val="0090002E"/>
    <w:rsid w:val="00900810"/>
    <w:rsid w:val="0090115B"/>
    <w:rsid w:val="00901BEA"/>
    <w:rsid w:val="0090306D"/>
    <w:rsid w:val="009041BE"/>
    <w:rsid w:val="00904413"/>
    <w:rsid w:val="00906EB5"/>
    <w:rsid w:val="0090743F"/>
    <w:rsid w:val="009075A7"/>
    <w:rsid w:val="009075C6"/>
    <w:rsid w:val="009077CD"/>
    <w:rsid w:val="009101B2"/>
    <w:rsid w:val="009106B8"/>
    <w:rsid w:val="0091090E"/>
    <w:rsid w:val="009109C2"/>
    <w:rsid w:val="00911575"/>
    <w:rsid w:val="0091296D"/>
    <w:rsid w:val="0091320A"/>
    <w:rsid w:val="009134C9"/>
    <w:rsid w:val="00913538"/>
    <w:rsid w:val="00913937"/>
    <w:rsid w:val="009140E0"/>
    <w:rsid w:val="009149A8"/>
    <w:rsid w:val="00914A53"/>
    <w:rsid w:val="00915253"/>
    <w:rsid w:val="00915865"/>
    <w:rsid w:val="00915DB1"/>
    <w:rsid w:val="0091643C"/>
    <w:rsid w:val="009166D4"/>
    <w:rsid w:val="00917058"/>
    <w:rsid w:val="00920289"/>
    <w:rsid w:val="00920D22"/>
    <w:rsid w:val="00921966"/>
    <w:rsid w:val="009221E9"/>
    <w:rsid w:val="0092294D"/>
    <w:rsid w:val="00923221"/>
    <w:rsid w:val="00923620"/>
    <w:rsid w:val="0092428E"/>
    <w:rsid w:val="00924E21"/>
    <w:rsid w:val="0092507F"/>
    <w:rsid w:val="00925C24"/>
    <w:rsid w:val="009268C0"/>
    <w:rsid w:val="00926E7B"/>
    <w:rsid w:val="0092717C"/>
    <w:rsid w:val="00927483"/>
    <w:rsid w:val="0092780C"/>
    <w:rsid w:val="009312D3"/>
    <w:rsid w:val="00931488"/>
    <w:rsid w:val="00931A0C"/>
    <w:rsid w:val="00933AC2"/>
    <w:rsid w:val="00933E90"/>
    <w:rsid w:val="00934B43"/>
    <w:rsid w:val="00934B7F"/>
    <w:rsid w:val="009351A6"/>
    <w:rsid w:val="00935456"/>
    <w:rsid w:val="00935C8D"/>
    <w:rsid w:val="00935F6C"/>
    <w:rsid w:val="00937BE1"/>
    <w:rsid w:val="00937BE8"/>
    <w:rsid w:val="00937CBF"/>
    <w:rsid w:val="00937F9C"/>
    <w:rsid w:val="009415DE"/>
    <w:rsid w:val="0094184C"/>
    <w:rsid w:val="00942D0E"/>
    <w:rsid w:val="00943155"/>
    <w:rsid w:val="009435C3"/>
    <w:rsid w:val="00943EB5"/>
    <w:rsid w:val="009443A6"/>
    <w:rsid w:val="00945561"/>
    <w:rsid w:val="00945BFF"/>
    <w:rsid w:val="00945C9C"/>
    <w:rsid w:val="00945DC6"/>
    <w:rsid w:val="00945DFA"/>
    <w:rsid w:val="00946843"/>
    <w:rsid w:val="00946FD0"/>
    <w:rsid w:val="00947191"/>
    <w:rsid w:val="0094741E"/>
    <w:rsid w:val="009476F4"/>
    <w:rsid w:val="00950131"/>
    <w:rsid w:val="00951599"/>
    <w:rsid w:val="00953276"/>
    <w:rsid w:val="00953901"/>
    <w:rsid w:val="00954528"/>
    <w:rsid w:val="0095476C"/>
    <w:rsid w:val="00954812"/>
    <w:rsid w:val="00956CA4"/>
    <w:rsid w:val="00957603"/>
    <w:rsid w:val="00957BFA"/>
    <w:rsid w:val="009610AE"/>
    <w:rsid w:val="0096190F"/>
    <w:rsid w:val="009625FE"/>
    <w:rsid w:val="00962BB8"/>
    <w:rsid w:val="009631EE"/>
    <w:rsid w:val="00965179"/>
    <w:rsid w:val="00965734"/>
    <w:rsid w:val="00966C31"/>
    <w:rsid w:val="00966FB0"/>
    <w:rsid w:val="0096743F"/>
    <w:rsid w:val="009676B7"/>
    <w:rsid w:val="00967A93"/>
    <w:rsid w:val="00967AB1"/>
    <w:rsid w:val="00967FEC"/>
    <w:rsid w:val="009703AB"/>
    <w:rsid w:val="00970D2D"/>
    <w:rsid w:val="0097108B"/>
    <w:rsid w:val="00971FEF"/>
    <w:rsid w:val="00973580"/>
    <w:rsid w:val="00973603"/>
    <w:rsid w:val="0097366E"/>
    <w:rsid w:val="00974C38"/>
    <w:rsid w:val="00975A54"/>
    <w:rsid w:val="00976198"/>
    <w:rsid w:val="00977C6C"/>
    <w:rsid w:val="00977E24"/>
    <w:rsid w:val="00977E4F"/>
    <w:rsid w:val="0098034E"/>
    <w:rsid w:val="009803F0"/>
    <w:rsid w:val="009813E6"/>
    <w:rsid w:val="009813F8"/>
    <w:rsid w:val="00982D59"/>
    <w:rsid w:val="00984208"/>
    <w:rsid w:val="00984C57"/>
    <w:rsid w:val="00984E83"/>
    <w:rsid w:val="009850A5"/>
    <w:rsid w:val="009853D2"/>
    <w:rsid w:val="00985885"/>
    <w:rsid w:val="0098598C"/>
    <w:rsid w:val="00985FA8"/>
    <w:rsid w:val="0098629E"/>
    <w:rsid w:val="00986337"/>
    <w:rsid w:val="00986624"/>
    <w:rsid w:val="00986CB2"/>
    <w:rsid w:val="00986D20"/>
    <w:rsid w:val="00986FD0"/>
    <w:rsid w:val="00987368"/>
    <w:rsid w:val="00987647"/>
    <w:rsid w:val="00987B76"/>
    <w:rsid w:val="00987C4B"/>
    <w:rsid w:val="0099028C"/>
    <w:rsid w:val="00991322"/>
    <w:rsid w:val="009914E6"/>
    <w:rsid w:val="009930D5"/>
    <w:rsid w:val="00995B3E"/>
    <w:rsid w:val="00995D74"/>
    <w:rsid w:val="009964E8"/>
    <w:rsid w:val="0099656D"/>
    <w:rsid w:val="00996856"/>
    <w:rsid w:val="009969E9"/>
    <w:rsid w:val="00996BC5"/>
    <w:rsid w:val="0099701E"/>
    <w:rsid w:val="009972F9"/>
    <w:rsid w:val="0099751C"/>
    <w:rsid w:val="0099774F"/>
    <w:rsid w:val="00997B17"/>
    <w:rsid w:val="00997B27"/>
    <w:rsid w:val="009A00F0"/>
    <w:rsid w:val="009A02B5"/>
    <w:rsid w:val="009A0746"/>
    <w:rsid w:val="009A0A0A"/>
    <w:rsid w:val="009A131E"/>
    <w:rsid w:val="009A232A"/>
    <w:rsid w:val="009A23B3"/>
    <w:rsid w:val="009A2AA2"/>
    <w:rsid w:val="009A2ABD"/>
    <w:rsid w:val="009A2E84"/>
    <w:rsid w:val="009A3BCD"/>
    <w:rsid w:val="009A44E1"/>
    <w:rsid w:val="009A46F4"/>
    <w:rsid w:val="009A59A8"/>
    <w:rsid w:val="009A5DAE"/>
    <w:rsid w:val="009A5E1E"/>
    <w:rsid w:val="009A6143"/>
    <w:rsid w:val="009A7634"/>
    <w:rsid w:val="009A7E35"/>
    <w:rsid w:val="009B075F"/>
    <w:rsid w:val="009B0924"/>
    <w:rsid w:val="009B12EE"/>
    <w:rsid w:val="009B233B"/>
    <w:rsid w:val="009B2820"/>
    <w:rsid w:val="009B2A7C"/>
    <w:rsid w:val="009B2D0C"/>
    <w:rsid w:val="009B36BD"/>
    <w:rsid w:val="009B3C5F"/>
    <w:rsid w:val="009B431F"/>
    <w:rsid w:val="009B4D9E"/>
    <w:rsid w:val="009B54FB"/>
    <w:rsid w:val="009B569C"/>
    <w:rsid w:val="009B5A4E"/>
    <w:rsid w:val="009B5B2F"/>
    <w:rsid w:val="009B5E8D"/>
    <w:rsid w:val="009B6262"/>
    <w:rsid w:val="009B62B9"/>
    <w:rsid w:val="009B62F3"/>
    <w:rsid w:val="009B7886"/>
    <w:rsid w:val="009B7A1B"/>
    <w:rsid w:val="009C0488"/>
    <w:rsid w:val="009C068E"/>
    <w:rsid w:val="009C1ECC"/>
    <w:rsid w:val="009C1F93"/>
    <w:rsid w:val="009C22FB"/>
    <w:rsid w:val="009C33B6"/>
    <w:rsid w:val="009C36E1"/>
    <w:rsid w:val="009C3AE0"/>
    <w:rsid w:val="009C44AE"/>
    <w:rsid w:val="009C467E"/>
    <w:rsid w:val="009C5172"/>
    <w:rsid w:val="009C588C"/>
    <w:rsid w:val="009C5CF6"/>
    <w:rsid w:val="009C5DB6"/>
    <w:rsid w:val="009C5FF7"/>
    <w:rsid w:val="009C5FF9"/>
    <w:rsid w:val="009C6440"/>
    <w:rsid w:val="009C6F5A"/>
    <w:rsid w:val="009C7AFB"/>
    <w:rsid w:val="009C7E33"/>
    <w:rsid w:val="009C7ED0"/>
    <w:rsid w:val="009C7F85"/>
    <w:rsid w:val="009D0501"/>
    <w:rsid w:val="009D08B7"/>
    <w:rsid w:val="009D0A2E"/>
    <w:rsid w:val="009D1B44"/>
    <w:rsid w:val="009D1E6F"/>
    <w:rsid w:val="009D1F22"/>
    <w:rsid w:val="009D2167"/>
    <w:rsid w:val="009D4013"/>
    <w:rsid w:val="009D408F"/>
    <w:rsid w:val="009D56E0"/>
    <w:rsid w:val="009D5FE3"/>
    <w:rsid w:val="009D63A5"/>
    <w:rsid w:val="009D69E4"/>
    <w:rsid w:val="009D702A"/>
    <w:rsid w:val="009D7068"/>
    <w:rsid w:val="009D72AA"/>
    <w:rsid w:val="009D736A"/>
    <w:rsid w:val="009D7BA1"/>
    <w:rsid w:val="009E06C6"/>
    <w:rsid w:val="009E0855"/>
    <w:rsid w:val="009E0D91"/>
    <w:rsid w:val="009E1792"/>
    <w:rsid w:val="009E1987"/>
    <w:rsid w:val="009E1EFA"/>
    <w:rsid w:val="009E26DB"/>
    <w:rsid w:val="009E2FFA"/>
    <w:rsid w:val="009E300E"/>
    <w:rsid w:val="009E30A7"/>
    <w:rsid w:val="009E36F7"/>
    <w:rsid w:val="009E3CB1"/>
    <w:rsid w:val="009E437A"/>
    <w:rsid w:val="009E6313"/>
    <w:rsid w:val="009E6837"/>
    <w:rsid w:val="009E785B"/>
    <w:rsid w:val="009F0FDB"/>
    <w:rsid w:val="009F1311"/>
    <w:rsid w:val="009F1492"/>
    <w:rsid w:val="009F1535"/>
    <w:rsid w:val="009F16B5"/>
    <w:rsid w:val="009F1E89"/>
    <w:rsid w:val="009F1FDE"/>
    <w:rsid w:val="009F2311"/>
    <w:rsid w:val="009F24B9"/>
    <w:rsid w:val="009F26FA"/>
    <w:rsid w:val="009F34E2"/>
    <w:rsid w:val="009F4587"/>
    <w:rsid w:val="009F45E1"/>
    <w:rsid w:val="009F4A7B"/>
    <w:rsid w:val="009F4B4C"/>
    <w:rsid w:val="009F4E75"/>
    <w:rsid w:val="009F6634"/>
    <w:rsid w:val="009F672C"/>
    <w:rsid w:val="009F6A5C"/>
    <w:rsid w:val="009F6DA2"/>
    <w:rsid w:val="009F767F"/>
    <w:rsid w:val="009F7966"/>
    <w:rsid w:val="00A0080B"/>
    <w:rsid w:val="00A00CEC"/>
    <w:rsid w:val="00A01458"/>
    <w:rsid w:val="00A0216D"/>
    <w:rsid w:val="00A024FA"/>
    <w:rsid w:val="00A028DC"/>
    <w:rsid w:val="00A02B7E"/>
    <w:rsid w:val="00A0312A"/>
    <w:rsid w:val="00A03E90"/>
    <w:rsid w:val="00A04129"/>
    <w:rsid w:val="00A043EB"/>
    <w:rsid w:val="00A04822"/>
    <w:rsid w:val="00A04AD0"/>
    <w:rsid w:val="00A060F2"/>
    <w:rsid w:val="00A06168"/>
    <w:rsid w:val="00A06A97"/>
    <w:rsid w:val="00A06DE9"/>
    <w:rsid w:val="00A076A8"/>
    <w:rsid w:val="00A10051"/>
    <w:rsid w:val="00A103DD"/>
    <w:rsid w:val="00A10AF3"/>
    <w:rsid w:val="00A10BFD"/>
    <w:rsid w:val="00A11472"/>
    <w:rsid w:val="00A11988"/>
    <w:rsid w:val="00A11999"/>
    <w:rsid w:val="00A11BE2"/>
    <w:rsid w:val="00A11C15"/>
    <w:rsid w:val="00A12522"/>
    <w:rsid w:val="00A12F88"/>
    <w:rsid w:val="00A13598"/>
    <w:rsid w:val="00A135FD"/>
    <w:rsid w:val="00A14534"/>
    <w:rsid w:val="00A14FDB"/>
    <w:rsid w:val="00A150A2"/>
    <w:rsid w:val="00A15150"/>
    <w:rsid w:val="00A15193"/>
    <w:rsid w:val="00A15A30"/>
    <w:rsid w:val="00A15AC6"/>
    <w:rsid w:val="00A15ECA"/>
    <w:rsid w:val="00A16414"/>
    <w:rsid w:val="00A16638"/>
    <w:rsid w:val="00A168E7"/>
    <w:rsid w:val="00A169E2"/>
    <w:rsid w:val="00A17044"/>
    <w:rsid w:val="00A17065"/>
    <w:rsid w:val="00A2011C"/>
    <w:rsid w:val="00A21808"/>
    <w:rsid w:val="00A21FB4"/>
    <w:rsid w:val="00A22557"/>
    <w:rsid w:val="00A2318F"/>
    <w:rsid w:val="00A2415C"/>
    <w:rsid w:val="00A2469D"/>
    <w:rsid w:val="00A2517A"/>
    <w:rsid w:val="00A2584E"/>
    <w:rsid w:val="00A25918"/>
    <w:rsid w:val="00A26046"/>
    <w:rsid w:val="00A26A91"/>
    <w:rsid w:val="00A276C1"/>
    <w:rsid w:val="00A27932"/>
    <w:rsid w:val="00A30772"/>
    <w:rsid w:val="00A31354"/>
    <w:rsid w:val="00A318E7"/>
    <w:rsid w:val="00A32076"/>
    <w:rsid w:val="00A3214E"/>
    <w:rsid w:val="00A3250C"/>
    <w:rsid w:val="00A3346F"/>
    <w:rsid w:val="00A34FC0"/>
    <w:rsid w:val="00A3567D"/>
    <w:rsid w:val="00A35A17"/>
    <w:rsid w:val="00A37B81"/>
    <w:rsid w:val="00A40BFB"/>
    <w:rsid w:val="00A40FA7"/>
    <w:rsid w:val="00A41E73"/>
    <w:rsid w:val="00A42CB8"/>
    <w:rsid w:val="00A43F64"/>
    <w:rsid w:val="00A45608"/>
    <w:rsid w:val="00A4608C"/>
    <w:rsid w:val="00A46190"/>
    <w:rsid w:val="00A462E6"/>
    <w:rsid w:val="00A4654E"/>
    <w:rsid w:val="00A468CF"/>
    <w:rsid w:val="00A471CC"/>
    <w:rsid w:val="00A4790B"/>
    <w:rsid w:val="00A47EBE"/>
    <w:rsid w:val="00A50BD7"/>
    <w:rsid w:val="00A51596"/>
    <w:rsid w:val="00A51B73"/>
    <w:rsid w:val="00A524B3"/>
    <w:rsid w:val="00A52B75"/>
    <w:rsid w:val="00A52EAB"/>
    <w:rsid w:val="00A530C9"/>
    <w:rsid w:val="00A539ED"/>
    <w:rsid w:val="00A54182"/>
    <w:rsid w:val="00A544D1"/>
    <w:rsid w:val="00A54711"/>
    <w:rsid w:val="00A548CF"/>
    <w:rsid w:val="00A54B9A"/>
    <w:rsid w:val="00A54C48"/>
    <w:rsid w:val="00A55083"/>
    <w:rsid w:val="00A55872"/>
    <w:rsid w:val="00A55BB7"/>
    <w:rsid w:val="00A55FB0"/>
    <w:rsid w:val="00A576B0"/>
    <w:rsid w:val="00A577E2"/>
    <w:rsid w:val="00A57A03"/>
    <w:rsid w:val="00A57E00"/>
    <w:rsid w:val="00A60F23"/>
    <w:rsid w:val="00A613E7"/>
    <w:rsid w:val="00A61E7C"/>
    <w:rsid w:val="00A61F2A"/>
    <w:rsid w:val="00A62183"/>
    <w:rsid w:val="00A62AAA"/>
    <w:rsid w:val="00A62BA8"/>
    <w:rsid w:val="00A62F35"/>
    <w:rsid w:val="00A638F9"/>
    <w:rsid w:val="00A63D35"/>
    <w:rsid w:val="00A642E6"/>
    <w:rsid w:val="00A649C2"/>
    <w:rsid w:val="00A64C00"/>
    <w:rsid w:val="00A64DB7"/>
    <w:rsid w:val="00A65246"/>
    <w:rsid w:val="00A6556B"/>
    <w:rsid w:val="00A656FB"/>
    <w:rsid w:val="00A65DAB"/>
    <w:rsid w:val="00A6777F"/>
    <w:rsid w:val="00A67FC4"/>
    <w:rsid w:val="00A709B1"/>
    <w:rsid w:val="00A711AE"/>
    <w:rsid w:val="00A71C73"/>
    <w:rsid w:val="00A727F7"/>
    <w:rsid w:val="00A728B0"/>
    <w:rsid w:val="00A73354"/>
    <w:rsid w:val="00A734CB"/>
    <w:rsid w:val="00A7351A"/>
    <w:rsid w:val="00A73614"/>
    <w:rsid w:val="00A738F4"/>
    <w:rsid w:val="00A73DB4"/>
    <w:rsid w:val="00A740EF"/>
    <w:rsid w:val="00A74922"/>
    <w:rsid w:val="00A74967"/>
    <w:rsid w:val="00A74A99"/>
    <w:rsid w:val="00A74C7B"/>
    <w:rsid w:val="00A74F53"/>
    <w:rsid w:val="00A75B10"/>
    <w:rsid w:val="00A7649D"/>
    <w:rsid w:val="00A76E03"/>
    <w:rsid w:val="00A77522"/>
    <w:rsid w:val="00A7786B"/>
    <w:rsid w:val="00A779DC"/>
    <w:rsid w:val="00A805FD"/>
    <w:rsid w:val="00A807BF"/>
    <w:rsid w:val="00A80868"/>
    <w:rsid w:val="00A814AC"/>
    <w:rsid w:val="00A82376"/>
    <w:rsid w:val="00A82BD2"/>
    <w:rsid w:val="00A82BDB"/>
    <w:rsid w:val="00A83610"/>
    <w:rsid w:val="00A83C34"/>
    <w:rsid w:val="00A83F63"/>
    <w:rsid w:val="00A84097"/>
    <w:rsid w:val="00A86308"/>
    <w:rsid w:val="00A86323"/>
    <w:rsid w:val="00A869FE"/>
    <w:rsid w:val="00A87278"/>
    <w:rsid w:val="00A90184"/>
    <w:rsid w:val="00A906D5"/>
    <w:rsid w:val="00A90B83"/>
    <w:rsid w:val="00A90BCA"/>
    <w:rsid w:val="00A9114C"/>
    <w:rsid w:val="00A9127C"/>
    <w:rsid w:val="00A918E7"/>
    <w:rsid w:val="00A91E89"/>
    <w:rsid w:val="00A9254E"/>
    <w:rsid w:val="00A925DE"/>
    <w:rsid w:val="00A9264B"/>
    <w:rsid w:val="00A939D3"/>
    <w:rsid w:val="00A93D11"/>
    <w:rsid w:val="00A95022"/>
    <w:rsid w:val="00A950A2"/>
    <w:rsid w:val="00A95F85"/>
    <w:rsid w:val="00A96575"/>
    <w:rsid w:val="00A96927"/>
    <w:rsid w:val="00A96B72"/>
    <w:rsid w:val="00A97007"/>
    <w:rsid w:val="00A97A5D"/>
    <w:rsid w:val="00AA1982"/>
    <w:rsid w:val="00AA1BE8"/>
    <w:rsid w:val="00AA1D5B"/>
    <w:rsid w:val="00AA236F"/>
    <w:rsid w:val="00AA2749"/>
    <w:rsid w:val="00AA275D"/>
    <w:rsid w:val="00AA2F40"/>
    <w:rsid w:val="00AA31FD"/>
    <w:rsid w:val="00AA36A2"/>
    <w:rsid w:val="00AA411A"/>
    <w:rsid w:val="00AA46C8"/>
    <w:rsid w:val="00AA4B1F"/>
    <w:rsid w:val="00AA4C4D"/>
    <w:rsid w:val="00AA58BA"/>
    <w:rsid w:val="00AA5A9E"/>
    <w:rsid w:val="00AA5ABA"/>
    <w:rsid w:val="00AA66E6"/>
    <w:rsid w:val="00AA68BC"/>
    <w:rsid w:val="00AA6CB6"/>
    <w:rsid w:val="00AA7E01"/>
    <w:rsid w:val="00AA7FF7"/>
    <w:rsid w:val="00AB0431"/>
    <w:rsid w:val="00AB0A3B"/>
    <w:rsid w:val="00AB0AD8"/>
    <w:rsid w:val="00AB1361"/>
    <w:rsid w:val="00AB1C4A"/>
    <w:rsid w:val="00AB247A"/>
    <w:rsid w:val="00AB28EE"/>
    <w:rsid w:val="00AB300D"/>
    <w:rsid w:val="00AB41E8"/>
    <w:rsid w:val="00AB427B"/>
    <w:rsid w:val="00AB434A"/>
    <w:rsid w:val="00AB46D4"/>
    <w:rsid w:val="00AB4CE8"/>
    <w:rsid w:val="00AB5220"/>
    <w:rsid w:val="00AB5AE3"/>
    <w:rsid w:val="00AB5CCD"/>
    <w:rsid w:val="00AB671E"/>
    <w:rsid w:val="00AB68D6"/>
    <w:rsid w:val="00AB7049"/>
    <w:rsid w:val="00AB7280"/>
    <w:rsid w:val="00AB7BBB"/>
    <w:rsid w:val="00AC0B48"/>
    <w:rsid w:val="00AC0D88"/>
    <w:rsid w:val="00AC10A6"/>
    <w:rsid w:val="00AC10AF"/>
    <w:rsid w:val="00AC1313"/>
    <w:rsid w:val="00AC2041"/>
    <w:rsid w:val="00AC330C"/>
    <w:rsid w:val="00AC3957"/>
    <w:rsid w:val="00AC39C3"/>
    <w:rsid w:val="00AC39DE"/>
    <w:rsid w:val="00AC3BE7"/>
    <w:rsid w:val="00AC3D2B"/>
    <w:rsid w:val="00AC4A26"/>
    <w:rsid w:val="00AC4C7D"/>
    <w:rsid w:val="00AC5482"/>
    <w:rsid w:val="00AC55E1"/>
    <w:rsid w:val="00AC5A5B"/>
    <w:rsid w:val="00AC5C8A"/>
    <w:rsid w:val="00AC5D0F"/>
    <w:rsid w:val="00AC691E"/>
    <w:rsid w:val="00AC74B6"/>
    <w:rsid w:val="00AC7B86"/>
    <w:rsid w:val="00AD0D5E"/>
    <w:rsid w:val="00AD10B7"/>
    <w:rsid w:val="00AD135F"/>
    <w:rsid w:val="00AD19F8"/>
    <w:rsid w:val="00AD1F27"/>
    <w:rsid w:val="00AD20D7"/>
    <w:rsid w:val="00AD258D"/>
    <w:rsid w:val="00AD31F3"/>
    <w:rsid w:val="00AD364E"/>
    <w:rsid w:val="00AD3A63"/>
    <w:rsid w:val="00AD3C70"/>
    <w:rsid w:val="00AD3D95"/>
    <w:rsid w:val="00AD3DFF"/>
    <w:rsid w:val="00AD5377"/>
    <w:rsid w:val="00AD53BB"/>
    <w:rsid w:val="00AD544D"/>
    <w:rsid w:val="00AD5719"/>
    <w:rsid w:val="00AD5E17"/>
    <w:rsid w:val="00AD629D"/>
    <w:rsid w:val="00AD7730"/>
    <w:rsid w:val="00AE0557"/>
    <w:rsid w:val="00AE105A"/>
    <w:rsid w:val="00AE2492"/>
    <w:rsid w:val="00AE26EB"/>
    <w:rsid w:val="00AE316C"/>
    <w:rsid w:val="00AE3225"/>
    <w:rsid w:val="00AE36E5"/>
    <w:rsid w:val="00AE3713"/>
    <w:rsid w:val="00AE3B7A"/>
    <w:rsid w:val="00AE4075"/>
    <w:rsid w:val="00AE4A84"/>
    <w:rsid w:val="00AE4AB7"/>
    <w:rsid w:val="00AE5595"/>
    <w:rsid w:val="00AE5DDE"/>
    <w:rsid w:val="00AE6271"/>
    <w:rsid w:val="00AE6AAE"/>
    <w:rsid w:val="00AE7908"/>
    <w:rsid w:val="00AE7BD4"/>
    <w:rsid w:val="00AE7D99"/>
    <w:rsid w:val="00AF017F"/>
    <w:rsid w:val="00AF0745"/>
    <w:rsid w:val="00AF0AE6"/>
    <w:rsid w:val="00AF1075"/>
    <w:rsid w:val="00AF12E2"/>
    <w:rsid w:val="00AF157E"/>
    <w:rsid w:val="00AF1751"/>
    <w:rsid w:val="00AF1A2D"/>
    <w:rsid w:val="00AF1C71"/>
    <w:rsid w:val="00AF2D9D"/>
    <w:rsid w:val="00AF2F1C"/>
    <w:rsid w:val="00AF39D5"/>
    <w:rsid w:val="00AF3AA4"/>
    <w:rsid w:val="00AF3B46"/>
    <w:rsid w:val="00AF434A"/>
    <w:rsid w:val="00AF45B7"/>
    <w:rsid w:val="00AF48E5"/>
    <w:rsid w:val="00AF5BF1"/>
    <w:rsid w:val="00AF5E31"/>
    <w:rsid w:val="00AF628E"/>
    <w:rsid w:val="00B0072E"/>
    <w:rsid w:val="00B008FD"/>
    <w:rsid w:val="00B00DA1"/>
    <w:rsid w:val="00B01145"/>
    <w:rsid w:val="00B01177"/>
    <w:rsid w:val="00B0157E"/>
    <w:rsid w:val="00B02630"/>
    <w:rsid w:val="00B0299E"/>
    <w:rsid w:val="00B02EE7"/>
    <w:rsid w:val="00B0300D"/>
    <w:rsid w:val="00B03EF6"/>
    <w:rsid w:val="00B04E02"/>
    <w:rsid w:val="00B04EB7"/>
    <w:rsid w:val="00B04ECD"/>
    <w:rsid w:val="00B05175"/>
    <w:rsid w:val="00B0573F"/>
    <w:rsid w:val="00B05A90"/>
    <w:rsid w:val="00B103AB"/>
    <w:rsid w:val="00B104CB"/>
    <w:rsid w:val="00B115BB"/>
    <w:rsid w:val="00B116AE"/>
    <w:rsid w:val="00B11EBD"/>
    <w:rsid w:val="00B13285"/>
    <w:rsid w:val="00B1379F"/>
    <w:rsid w:val="00B13B4F"/>
    <w:rsid w:val="00B13FCA"/>
    <w:rsid w:val="00B1429E"/>
    <w:rsid w:val="00B15208"/>
    <w:rsid w:val="00B15560"/>
    <w:rsid w:val="00B1584E"/>
    <w:rsid w:val="00B15D26"/>
    <w:rsid w:val="00B1607D"/>
    <w:rsid w:val="00B1627D"/>
    <w:rsid w:val="00B17367"/>
    <w:rsid w:val="00B175CD"/>
    <w:rsid w:val="00B17968"/>
    <w:rsid w:val="00B2008A"/>
    <w:rsid w:val="00B205F5"/>
    <w:rsid w:val="00B20773"/>
    <w:rsid w:val="00B208F8"/>
    <w:rsid w:val="00B20BD0"/>
    <w:rsid w:val="00B21565"/>
    <w:rsid w:val="00B21752"/>
    <w:rsid w:val="00B21A38"/>
    <w:rsid w:val="00B21AAA"/>
    <w:rsid w:val="00B23070"/>
    <w:rsid w:val="00B2322C"/>
    <w:rsid w:val="00B234FD"/>
    <w:rsid w:val="00B23647"/>
    <w:rsid w:val="00B23F06"/>
    <w:rsid w:val="00B24B12"/>
    <w:rsid w:val="00B24B98"/>
    <w:rsid w:val="00B25091"/>
    <w:rsid w:val="00B256E5"/>
    <w:rsid w:val="00B26253"/>
    <w:rsid w:val="00B26271"/>
    <w:rsid w:val="00B26C86"/>
    <w:rsid w:val="00B271E9"/>
    <w:rsid w:val="00B303EA"/>
    <w:rsid w:val="00B30753"/>
    <w:rsid w:val="00B30980"/>
    <w:rsid w:val="00B314A8"/>
    <w:rsid w:val="00B3184B"/>
    <w:rsid w:val="00B31F77"/>
    <w:rsid w:val="00B3270B"/>
    <w:rsid w:val="00B33DBD"/>
    <w:rsid w:val="00B33E69"/>
    <w:rsid w:val="00B342E9"/>
    <w:rsid w:val="00B34315"/>
    <w:rsid w:val="00B34362"/>
    <w:rsid w:val="00B343B9"/>
    <w:rsid w:val="00B3576D"/>
    <w:rsid w:val="00B367D2"/>
    <w:rsid w:val="00B372CC"/>
    <w:rsid w:val="00B40DBF"/>
    <w:rsid w:val="00B40DDC"/>
    <w:rsid w:val="00B4199C"/>
    <w:rsid w:val="00B41BA8"/>
    <w:rsid w:val="00B43B2D"/>
    <w:rsid w:val="00B43B67"/>
    <w:rsid w:val="00B44A93"/>
    <w:rsid w:val="00B44CFB"/>
    <w:rsid w:val="00B452C7"/>
    <w:rsid w:val="00B454ED"/>
    <w:rsid w:val="00B4582D"/>
    <w:rsid w:val="00B45A3B"/>
    <w:rsid w:val="00B45C33"/>
    <w:rsid w:val="00B45E7A"/>
    <w:rsid w:val="00B46266"/>
    <w:rsid w:val="00B47482"/>
    <w:rsid w:val="00B47E31"/>
    <w:rsid w:val="00B5045B"/>
    <w:rsid w:val="00B50A1E"/>
    <w:rsid w:val="00B51050"/>
    <w:rsid w:val="00B51548"/>
    <w:rsid w:val="00B527BC"/>
    <w:rsid w:val="00B527EA"/>
    <w:rsid w:val="00B527EF"/>
    <w:rsid w:val="00B52819"/>
    <w:rsid w:val="00B52920"/>
    <w:rsid w:val="00B529EF"/>
    <w:rsid w:val="00B52C04"/>
    <w:rsid w:val="00B52DA9"/>
    <w:rsid w:val="00B53E8E"/>
    <w:rsid w:val="00B547E1"/>
    <w:rsid w:val="00B548D3"/>
    <w:rsid w:val="00B55006"/>
    <w:rsid w:val="00B5561D"/>
    <w:rsid w:val="00B55C76"/>
    <w:rsid w:val="00B56544"/>
    <w:rsid w:val="00B573C5"/>
    <w:rsid w:val="00B57427"/>
    <w:rsid w:val="00B60A25"/>
    <w:rsid w:val="00B61496"/>
    <w:rsid w:val="00B616EA"/>
    <w:rsid w:val="00B6231B"/>
    <w:rsid w:val="00B6276A"/>
    <w:rsid w:val="00B6384E"/>
    <w:rsid w:val="00B63F75"/>
    <w:rsid w:val="00B642A6"/>
    <w:rsid w:val="00B65032"/>
    <w:rsid w:val="00B650B5"/>
    <w:rsid w:val="00B6515D"/>
    <w:rsid w:val="00B651C0"/>
    <w:rsid w:val="00B65C3C"/>
    <w:rsid w:val="00B66409"/>
    <w:rsid w:val="00B664A2"/>
    <w:rsid w:val="00B67CB3"/>
    <w:rsid w:val="00B67DA0"/>
    <w:rsid w:val="00B70030"/>
    <w:rsid w:val="00B70111"/>
    <w:rsid w:val="00B7129B"/>
    <w:rsid w:val="00B71D52"/>
    <w:rsid w:val="00B7267D"/>
    <w:rsid w:val="00B72771"/>
    <w:rsid w:val="00B72DEC"/>
    <w:rsid w:val="00B731B5"/>
    <w:rsid w:val="00B73475"/>
    <w:rsid w:val="00B73708"/>
    <w:rsid w:val="00B7432A"/>
    <w:rsid w:val="00B74552"/>
    <w:rsid w:val="00B74568"/>
    <w:rsid w:val="00B746BD"/>
    <w:rsid w:val="00B753DA"/>
    <w:rsid w:val="00B76333"/>
    <w:rsid w:val="00B76DD8"/>
    <w:rsid w:val="00B77295"/>
    <w:rsid w:val="00B80A17"/>
    <w:rsid w:val="00B811DB"/>
    <w:rsid w:val="00B8178E"/>
    <w:rsid w:val="00B83BA2"/>
    <w:rsid w:val="00B83C0A"/>
    <w:rsid w:val="00B83CDE"/>
    <w:rsid w:val="00B83FE3"/>
    <w:rsid w:val="00B840A0"/>
    <w:rsid w:val="00B8475D"/>
    <w:rsid w:val="00B85081"/>
    <w:rsid w:val="00B852E9"/>
    <w:rsid w:val="00B8551C"/>
    <w:rsid w:val="00B85C13"/>
    <w:rsid w:val="00B86862"/>
    <w:rsid w:val="00B868D8"/>
    <w:rsid w:val="00B86AAC"/>
    <w:rsid w:val="00B86DEA"/>
    <w:rsid w:val="00B86F15"/>
    <w:rsid w:val="00B875AE"/>
    <w:rsid w:val="00B87DCF"/>
    <w:rsid w:val="00B87F19"/>
    <w:rsid w:val="00B900AE"/>
    <w:rsid w:val="00B90150"/>
    <w:rsid w:val="00B9044F"/>
    <w:rsid w:val="00B909AA"/>
    <w:rsid w:val="00B910CF"/>
    <w:rsid w:val="00B92066"/>
    <w:rsid w:val="00B92209"/>
    <w:rsid w:val="00B929AB"/>
    <w:rsid w:val="00B92D7E"/>
    <w:rsid w:val="00B92DC6"/>
    <w:rsid w:val="00B93E1E"/>
    <w:rsid w:val="00B93FE2"/>
    <w:rsid w:val="00B946CD"/>
    <w:rsid w:val="00B94C57"/>
    <w:rsid w:val="00B95A69"/>
    <w:rsid w:val="00B9642E"/>
    <w:rsid w:val="00B964B2"/>
    <w:rsid w:val="00B96F99"/>
    <w:rsid w:val="00B9735C"/>
    <w:rsid w:val="00B97EC2"/>
    <w:rsid w:val="00BA0627"/>
    <w:rsid w:val="00BA0CBD"/>
    <w:rsid w:val="00BA14C0"/>
    <w:rsid w:val="00BA1EF0"/>
    <w:rsid w:val="00BA1F20"/>
    <w:rsid w:val="00BA1F5B"/>
    <w:rsid w:val="00BA3604"/>
    <w:rsid w:val="00BA36EA"/>
    <w:rsid w:val="00BA373A"/>
    <w:rsid w:val="00BA3A0B"/>
    <w:rsid w:val="00BA3BBC"/>
    <w:rsid w:val="00BA3F81"/>
    <w:rsid w:val="00BA4567"/>
    <w:rsid w:val="00BA4DD4"/>
    <w:rsid w:val="00BA5D10"/>
    <w:rsid w:val="00BA6264"/>
    <w:rsid w:val="00BA7543"/>
    <w:rsid w:val="00BB0367"/>
    <w:rsid w:val="00BB0AEF"/>
    <w:rsid w:val="00BB14D9"/>
    <w:rsid w:val="00BB16A6"/>
    <w:rsid w:val="00BB2104"/>
    <w:rsid w:val="00BB2159"/>
    <w:rsid w:val="00BB22A9"/>
    <w:rsid w:val="00BB2824"/>
    <w:rsid w:val="00BB2A9D"/>
    <w:rsid w:val="00BB3581"/>
    <w:rsid w:val="00BB45D6"/>
    <w:rsid w:val="00BB4B51"/>
    <w:rsid w:val="00BB500B"/>
    <w:rsid w:val="00BB5873"/>
    <w:rsid w:val="00BB5994"/>
    <w:rsid w:val="00BB5CDF"/>
    <w:rsid w:val="00BB5D00"/>
    <w:rsid w:val="00BB636E"/>
    <w:rsid w:val="00BC0376"/>
    <w:rsid w:val="00BC03AE"/>
    <w:rsid w:val="00BC0678"/>
    <w:rsid w:val="00BC0DE5"/>
    <w:rsid w:val="00BC1516"/>
    <w:rsid w:val="00BC162E"/>
    <w:rsid w:val="00BC1CBA"/>
    <w:rsid w:val="00BC1E35"/>
    <w:rsid w:val="00BC23B6"/>
    <w:rsid w:val="00BC2483"/>
    <w:rsid w:val="00BC2B4E"/>
    <w:rsid w:val="00BC2C80"/>
    <w:rsid w:val="00BC3235"/>
    <w:rsid w:val="00BC3C85"/>
    <w:rsid w:val="00BC44EE"/>
    <w:rsid w:val="00BC50B6"/>
    <w:rsid w:val="00BC56FD"/>
    <w:rsid w:val="00BC6236"/>
    <w:rsid w:val="00BC67AA"/>
    <w:rsid w:val="00BC6ED1"/>
    <w:rsid w:val="00BC7D47"/>
    <w:rsid w:val="00BC7DE2"/>
    <w:rsid w:val="00BD0364"/>
    <w:rsid w:val="00BD03B9"/>
    <w:rsid w:val="00BD09D3"/>
    <w:rsid w:val="00BD0B51"/>
    <w:rsid w:val="00BD0D78"/>
    <w:rsid w:val="00BD0F25"/>
    <w:rsid w:val="00BD103A"/>
    <w:rsid w:val="00BD1407"/>
    <w:rsid w:val="00BD145C"/>
    <w:rsid w:val="00BD1B4E"/>
    <w:rsid w:val="00BD28AF"/>
    <w:rsid w:val="00BD2C6C"/>
    <w:rsid w:val="00BD3526"/>
    <w:rsid w:val="00BD3936"/>
    <w:rsid w:val="00BD3ED1"/>
    <w:rsid w:val="00BD41D1"/>
    <w:rsid w:val="00BD4F65"/>
    <w:rsid w:val="00BD5355"/>
    <w:rsid w:val="00BD550E"/>
    <w:rsid w:val="00BD5AB6"/>
    <w:rsid w:val="00BD5B35"/>
    <w:rsid w:val="00BD7FF9"/>
    <w:rsid w:val="00BE094D"/>
    <w:rsid w:val="00BE0B94"/>
    <w:rsid w:val="00BE114E"/>
    <w:rsid w:val="00BE1330"/>
    <w:rsid w:val="00BE1CDC"/>
    <w:rsid w:val="00BE1D63"/>
    <w:rsid w:val="00BE211A"/>
    <w:rsid w:val="00BE2DC6"/>
    <w:rsid w:val="00BE370D"/>
    <w:rsid w:val="00BE37B5"/>
    <w:rsid w:val="00BE44BC"/>
    <w:rsid w:val="00BE49F5"/>
    <w:rsid w:val="00BE4CBB"/>
    <w:rsid w:val="00BE4CD0"/>
    <w:rsid w:val="00BE55C0"/>
    <w:rsid w:val="00BE59E8"/>
    <w:rsid w:val="00BE6078"/>
    <w:rsid w:val="00BE634C"/>
    <w:rsid w:val="00BE6B19"/>
    <w:rsid w:val="00BF04BD"/>
    <w:rsid w:val="00BF0A10"/>
    <w:rsid w:val="00BF0FE2"/>
    <w:rsid w:val="00BF11CF"/>
    <w:rsid w:val="00BF1604"/>
    <w:rsid w:val="00BF1A30"/>
    <w:rsid w:val="00BF1D5A"/>
    <w:rsid w:val="00BF1DE8"/>
    <w:rsid w:val="00BF1EB7"/>
    <w:rsid w:val="00BF2C93"/>
    <w:rsid w:val="00BF30AA"/>
    <w:rsid w:val="00BF32AB"/>
    <w:rsid w:val="00BF41EB"/>
    <w:rsid w:val="00BF4323"/>
    <w:rsid w:val="00BF4AE0"/>
    <w:rsid w:val="00BF4B17"/>
    <w:rsid w:val="00BF52AF"/>
    <w:rsid w:val="00BF536E"/>
    <w:rsid w:val="00BF537B"/>
    <w:rsid w:val="00BF54CA"/>
    <w:rsid w:val="00BF5D23"/>
    <w:rsid w:val="00BF60B4"/>
    <w:rsid w:val="00BF66E6"/>
    <w:rsid w:val="00BF714A"/>
    <w:rsid w:val="00BF7362"/>
    <w:rsid w:val="00BF7CD1"/>
    <w:rsid w:val="00BF7D1E"/>
    <w:rsid w:val="00BF7FA3"/>
    <w:rsid w:val="00C00437"/>
    <w:rsid w:val="00C00A4B"/>
    <w:rsid w:val="00C00DFB"/>
    <w:rsid w:val="00C01144"/>
    <w:rsid w:val="00C018ED"/>
    <w:rsid w:val="00C01AAC"/>
    <w:rsid w:val="00C01B95"/>
    <w:rsid w:val="00C02D54"/>
    <w:rsid w:val="00C032BA"/>
    <w:rsid w:val="00C0336D"/>
    <w:rsid w:val="00C03CE2"/>
    <w:rsid w:val="00C0476D"/>
    <w:rsid w:val="00C05883"/>
    <w:rsid w:val="00C05B06"/>
    <w:rsid w:val="00C05BA3"/>
    <w:rsid w:val="00C05BD4"/>
    <w:rsid w:val="00C06654"/>
    <w:rsid w:val="00C06C7E"/>
    <w:rsid w:val="00C105CB"/>
    <w:rsid w:val="00C1063F"/>
    <w:rsid w:val="00C107B0"/>
    <w:rsid w:val="00C10904"/>
    <w:rsid w:val="00C10D48"/>
    <w:rsid w:val="00C11B16"/>
    <w:rsid w:val="00C11D4F"/>
    <w:rsid w:val="00C11D9E"/>
    <w:rsid w:val="00C11FA5"/>
    <w:rsid w:val="00C120BE"/>
    <w:rsid w:val="00C123A9"/>
    <w:rsid w:val="00C130E3"/>
    <w:rsid w:val="00C134C3"/>
    <w:rsid w:val="00C14565"/>
    <w:rsid w:val="00C14A22"/>
    <w:rsid w:val="00C14ABF"/>
    <w:rsid w:val="00C14DA4"/>
    <w:rsid w:val="00C15B9E"/>
    <w:rsid w:val="00C15C51"/>
    <w:rsid w:val="00C15E93"/>
    <w:rsid w:val="00C15F36"/>
    <w:rsid w:val="00C16115"/>
    <w:rsid w:val="00C168BA"/>
    <w:rsid w:val="00C16E4F"/>
    <w:rsid w:val="00C17442"/>
    <w:rsid w:val="00C17446"/>
    <w:rsid w:val="00C1785D"/>
    <w:rsid w:val="00C2068B"/>
    <w:rsid w:val="00C210F9"/>
    <w:rsid w:val="00C2235A"/>
    <w:rsid w:val="00C224AF"/>
    <w:rsid w:val="00C22B04"/>
    <w:rsid w:val="00C232A0"/>
    <w:rsid w:val="00C232A3"/>
    <w:rsid w:val="00C23CC8"/>
    <w:rsid w:val="00C23F15"/>
    <w:rsid w:val="00C242A9"/>
    <w:rsid w:val="00C24777"/>
    <w:rsid w:val="00C247B9"/>
    <w:rsid w:val="00C24DCB"/>
    <w:rsid w:val="00C24FC3"/>
    <w:rsid w:val="00C25441"/>
    <w:rsid w:val="00C25721"/>
    <w:rsid w:val="00C257C7"/>
    <w:rsid w:val="00C25D2B"/>
    <w:rsid w:val="00C2698B"/>
    <w:rsid w:val="00C300E6"/>
    <w:rsid w:val="00C3020C"/>
    <w:rsid w:val="00C30B93"/>
    <w:rsid w:val="00C31F33"/>
    <w:rsid w:val="00C32619"/>
    <w:rsid w:val="00C32C86"/>
    <w:rsid w:val="00C33EF9"/>
    <w:rsid w:val="00C344BB"/>
    <w:rsid w:val="00C362E2"/>
    <w:rsid w:val="00C368B9"/>
    <w:rsid w:val="00C36A6F"/>
    <w:rsid w:val="00C36AD4"/>
    <w:rsid w:val="00C370AD"/>
    <w:rsid w:val="00C370CE"/>
    <w:rsid w:val="00C37AC6"/>
    <w:rsid w:val="00C37F4F"/>
    <w:rsid w:val="00C40095"/>
    <w:rsid w:val="00C401EE"/>
    <w:rsid w:val="00C417F3"/>
    <w:rsid w:val="00C43C09"/>
    <w:rsid w:val="00C441AA"/>
    <w:rsid w:val="00C4425E"/>
    <w:rsid w:val="00C44EC0"/>
    <w:rsid w:val="00C450FF"/>
    <w:rsid w:val="00C45775"/>
    <w:rsid w:val="00C45AE6"/>
    <w:rsid w:val="00C45C93"/>
    <w:rsid w:val="00C45E3B"/>
    <w:rsid w:val="00C46723"/>
    <w:rsid w:val="00C46B24"/>
    <w:rsid w:val="00C46BB0"/>
    <w:rsid w:val="00C46F40"/>
    <w:rsid w:val="00C4759F"/>
    <w:rsid w:val="00C475C4"/>
    <w:rsid w:val="00C47D0D"/>
    <w:rsid w:val="00C47FC7"/>
    <w:rsid w:val="00C50518"/>
    <w:rsid w:val="00C50B29"/>
    <w:rsid w:val="00C50D93"/>
    <w:rsid w:val="00C51B84"/>
    <w:rsid w:val="00C527A3"/>
    <w:rsid w:val="00C52B2F"/>
    <w:rsid w:val="00C52CB3"/>
    <w:rsid w:val="00C532C0"/>
    <w:rsid w:val="00C53432"/>
    <w:rsid w:val="00C5467D"/>
    <w:rsid w:val="00C54BD7"/>
    <w:rsid w:val="00C54FEE"/>
    <w:rsid w:val="00C5512D"/>
    <w:rsid w:val="00C553B3"/>
    <w:rsid w:val="00C5655A"/>
    <w:rsid w:val="00C56591"/>
    <w:rsid w:val="00C5681C"/>
    <w:rsid w:val="00C56BCC"/>
    <w:rsid w:val="00C56C83"/>
    <w:rsid w:val="00C57718"/>
    <w:rsid w:val="00C579C2"/>
    <w:rsid w:val="00C57A4E"/>
    <w:rsid w:val="00C617E0"/>
    <w:rsid w:val="00C61C7C"/>
    <w:rsid w:val="00C62000"/>
    <w:rsid w:val="00C62855"/>
    <w:rsid w:val="00C62C7B"/>
    <w:rsid w:val="00C6364F"/>
    <w:rsid w:val="00C64752"/>
    <w:rsid w:val="00C65847"/>
    <w:rsid w:val="00C659B0"/>
    <w:rsid w:val="00C66850"/>
    <w:rsid w:val="00C66A31"/>
    <w:rsid w:val="00C66CC0"/>
    <w:rsid w:val="00C66D34"/>
    <w:rsid w:val="00C674BE"/>
    <w:rsid w:val="00C6773B"/>
    <w:rsid w:val="00C677C4"/>
    <w:rsid w:val="00C677C5"/>
    <w:rsid w:val="00C67D23"/>
    <w:rsid w:val="00C7020C"/>
    <w:rsid w:val="00C72581"/>
    <w:rsid w:val="00C72BDA"/>
    <w:rsid w:val="00C72E0A"/>
    <w:rsid w:val="00C73004"/>
    <w:rsid w:val="00C737C3"/>
    <w:rsid w:val="00C73EC3"/>
    <w:rsid w:val="00C749CC"/>
    <w:rsid w:val="00C74F4E"/>
    <w:rsid w:val="00C7515C"/>
    <w:rsid w:val="00C754BD"/>
    <w:rsid w:val="00C759C2"/>
    <w:rsid w:val="00C75B85"/>
    <w:rsid w:val="00C75DFF"/>
    <w:rsid w:val="00C75EE9"/>
    <w:rsid w:val="00C76D71"/>
    <w:rsid w:val="00C771AB"/>
    <w:rsid w:val="00C771E5"/>
    <w:rsid w:val="00C773DD"/>
    <w:rsid w:val="00C77477"/>
    <w:rsid w:val="00C77555"/>
    <w:rsid w:val="00C8080D"/>
    <w:rsid w:val="00C80844"/>
    <w:rsid w:val="00C80B77"/>
    <w:rsid w:val="00C819FC"/>
    <w:rsid w:val="00C81CE2"/>
    <w:rsid w:val="00C821B3"/>
    <w:rsid w:val="00C82AE9"/>
    <w:rsid w:val="00C82E31"/>
    <w:rsid w:val="00C8349A"/>
    <w:rsid w:val="00C8386E"/>
    <w:rsid w:val="00C8457F"/>
    <w:rsid w:val="00C84A34"/>
    <w:rsid w:val="00C87AD3"/>
    <w:rsid w:val="00C87AD5"/>
    <w:rsid w:val="00C87D66"/>
    <w:rsid w:val="00C900AE"/>
    <w:rsid w:val="00C9010E"/>
    <w:rsid w:val="00C902C9"/>
    <w:rsid w:val="00C9054A"/>
    <w:rsid w:val="00C9065C"/>
    <w:rsid w:val="00C907F9"/>
    <w:rsid w:val="00C90C62"/>
    <w:rsid w:val="00C90D65"/>
    <w:rsid w:val="00C9176D"/>
    <w:rsid w:val="00C92F07"/>
    <w:rsid w:val="00C9327D"/>
    <w:rsid w:val="00C938C6"/>
    <w:rsid w:val="00C93C96"/>
    <w:rsid w:val="00C94D8E"/>
    <w:rsid w:val="00C94E99"/>
    <w:rsid w:val="00C95D84"/>
    <w:rsid w:val="00C961BD"/>
    <w:rsid w:val="00C96280"/>
    <w:rsid w:val="00C96C0D"/>
    <w:rsid w:val="00C96C83"/>
    <w:rsid w:val="00C9717E"/>
    <w:rsid w:val="00CA090D"/>
    <w:rsid w:val="00CA13CD"/>
    <w:rsid w:val="00CA157E"/>
    <w:rsid w:val="00CA166F"/>
    <w:rsid w:val="00CA1797"/>
    <w:rsid w:val="00CA2899"/>
    <w:rsid w:val="00CA29A3"/>
    <w:rsid w:val="00CA2A50"/>
    <w:rsid w:val="00CA2DCE"/>
    <w:rsid w:val="00CA3320"/>
    <w:rsid w:val="00CA3483"/>
    <w:rsid w:val="00CA3797"/>
    <w:rsid w:val="00CA3A20"/>
    <w:rsid w:val="00CA403D"/>
    <w:rsid w:val="00CA5BD6"/>
    <w:rsid w:val="00CA5EE4"/>
    <w:rsid w:val="00CA6837"/>
    <w:rsid w:val="00CA6AF2"/>
    <w:rsid w:val="00CA79C3"/>
    <w:rsid w:val="00CA7A1E"/>
    <w:rsid w:val="00CB0491"/>
    <w:rsid w:val="00CB09D7"/>
    <w:rsid w:val="00CB0EDD"/>
    <w:rsid w:val="00CB10D9"/>
    <w:rsid w:val="00CB1871"/>
    <w:rsid w:val="00CB1FE6"/>
    <w:rsid w:val="00CB226E"/>
    <w:rsid w:val="00CB3105"/>
    <w:rsid w:val="00CB36AE"/>
    <w:rsid w:val="00CB3F76"/>
    <w:rsid w:val="00CB43D5"/>
    <w:rsid w:val="00CB4954"/>
    <w:rsid w:val="00CB4BFB"/>
    <w:rsid w:val="00CB4C42"/>
    <w:rsid w:val="00CB4D5C"/>
    <w:rsid w:val="00CB620B"/>
    <w:rsid w:val="00CB6301"/>
    <w:rsid w:val="00CB6CD8"/>
    <w:rsid w:val="00CB71A9"/>
    <w:rsid w:val="00CB71CD"/>
    <w:rsid w:val="00CB7335"/>
    <w:rsid w:val="00CB733F"/>
    <w:rsid w:val="00CB73E2"/>
    <w:rsid w:val="00CB7657"/>
    <w:rsid w:val="00CB7969"/>
    <w:rsid w:val="00CB7D26"/>
    <w:rsid w:val="00CC095F"/>
    <w:rsid w:val="00CC0C02"/>
    <w:rsid w:val="00CC17EB"/>
    <w:rsid w:val="00CC1CFE"/>
    <w:rsid w:val="00CC210E"/>
    <w:rsid w:val="00CC2C1A"/>
    <w:rsid w:val="00CC2DB7"/>
    <w:rsid w:val="00CC3304"/>
    <w:rsid w:val="00CC338E"/>
    <w:rsid w:val="00CC37A7"/>
    <w:rsid w:val="00CC3AB3"/>
    <w:rsid w:val="00CC3ACC"/>
    <w:rsid w:val="00CC469D"/>
    <w:rsid w:val="00CC499F"/>
    <w:rsid w:val="00CC4BF1"/>
    <w:rsid w:val="00CC5B66"/>
    <w:rsid w:val="00CC6BA4"/>
    <w:rsid w:val="00CC7135"/>
    <w:rsid w:val="00CC7FFE"/>
    <w:rsid w:val="00CD0951"/>
    <w:rsid w:val="00CD0B89"/>
    <w:rsid w:val="00CD1AE0"/>
    <w:rsid w:val="00CD1B49"/>
    <w:rsid w:val="00CD20D7"/>
    <w:rsid w:val="00CD278A"/>
    <w:rsid w:val="00CD2C33"/>
    <w:rsid w:val="00CD2FE1"/>
    <w:rsid w:val="00CD3190"/>
    <w:rsid w:val="00CD35C9"/>
    <w:rsid w:val="00CD4356"/>
    <w:rsid w:val="00CD4A08"/>
    <w:rsid w:val="00CD5BB5"/>
    <w:rsid w:val="00CD5F06"/>
    <w:rsid w:val="00CD6B2D"/>
    <w:rsid w:val="00CD744D"/>
    <w:rsid w:val="00CD7595"/>
    <w:rsid w:val="00CD7850"/>
    <w:rsid w:val="00CE086C"/>
    <w:rsid w:val="00CE09B7"/>
    <w:rsid w:val="00CE0A55"/>
    <w:rsid w:val="00CE1054"/>
    <w:rsid w:val="00CE105D"/>
    <w:rsid w:val="00CE12E0"/>
    <w:rsid w:val="00CE12F4"/>
    <w:rsid w:val="00CE18B0"/>
    <w:rsid w:val="00CE1BAD"/>
    <w:rsid w:val="00CE2048"/>
    <w:rsid w:val="00CE269D"/>
    <w:rsid w:val="00CE28D0"/>
    <w:rsid w:val="00CE3201"/>
    <w:rsid w:val="00CE51A6"/>
    <w:rsid w:val="00CE595E"/>
    <w:rsid w:val="00CE5D7B"/>
    <w:rsid w:val="00CE673B"/>
    <w:rsid w:val="00CE6B9E"/>
    <w:rsid w:val="00CE6F9D"/>
    <w:rsid w:val="00CE7534"/>
    <w:rsid w:val="00CE7C4A"/>
    <w:rsid w:val="00CF02DF"/>
    <w:rsid w:val="00CF067A"/>
    <w:rsid w:val="00CF0F8F"/>
    <w:rsid w:val="00CF154E"/>
    <w:rsid w:val="00CF1553"/>
    <w:rsid w:val="00CF179E"/>
    <w:rsid w:val="00CF1C83"/>
    <w:rsid w:val="00CF1FC7"/>
    <w:rsid w:val="00CF2320"/>
    <w:rsid w:val="00CF24D8"/>
    <w:rsid w:val="00CF27E2"/>
    <w:rsid w:val="00CF3240"/>
    <w:rsid w:val="00CF36AF"/>
    <w:rsid w:val="00CF37F9"/>
    <w:rsid w:val="00CF3A72"/>
    <w:rsid w:val="00CF42CE"/>
    <w:rsid w:val="00CF4409"/>
    <w:rsid w:val="00CF47EC"/>
    <w:rsid w:val="00CF4CE9"/>
    <w:rsid w:val="00CF4F0D"/>
    <w:rsid w:val="00CF64AE"/>
    <w:rsid w:val="00CF691F"/>
    <w:rsid w:val="00CF70FB"/>
    <w:rsid w:val="00CF7623"/>
    <w:rsid w:val="00CF77AA"/>
    <w:rsid w:val="00CF7927"/>
    <w:rsid w:val="00D003E1"/>
    <w:rsid w:val="00D008B9"/>
    <w:rsid w:val="00D00E8F"/>
    <w:rsid w:val="00D014CE"/>
    <w:rsid w:val="00D026EE"/>
    <w:rsid w:val="00D02F64"/>
    <w:rsid w:val="00D0537C"/>
    <w:rsid w:val="00D0587E"/>
    <w:rsid w:val="00D05B33"/>
    <w:rsid w:val="00D06411"/>
    <w:rsid w:val="00D06992"/>
    <w:rsid w:val="00D07658"/>
    <w:rsid w:val="00D07EF9"/>
    <w:rsid w:val="00D07F53"/>
    <w:rsid w:val="00D10257"/>
    <w:rsid w:val="00D10902"/>
    <w:rsid w:val="00D10AF5"/>
    <w:rsid w:val="00D10B2F"/>
    <w:rsid w:val="00D11248"/>
    <w:rsid w:val="00D1132C"/>
    <w:rsid w:val="00D11986"/>
    <w:rsid w:val="00D12620"/>
    <w:rsid w:val="00D1281F"/>
    <w:rsid w:val="00D12E31"/>
    <w:rsid w:val="00D14AB7"/>
    <w:rsid w:val="00D15601"/>
    <w:rsid w:val="00D161D8"/>
    <w:rsid w:val="00D166F0"/>
    <w:rsid w:val="00D1670E"/>
    <w:rsid w:val="00D16BAE"/>
    <w:rsid w:val="00D17DB7"/>
    <w:rsid w:val="00D2000F"/>
    <w:rsid w:val="00D20183"/>
    <w:rsid w:val="00D20860"/>
    <w:rsid w:val="00D21618"/>
    <w:rsid w:val="00D21630"/>
    <w:rsid w:val="00D220CD"/>
    <w:rsid w:val="00D222A0"/>
    <w:rsid w:val="00D2247E"/>
    <w:rsid w:val="00D22FE9"/>
    <w:rsid w:val="00D2313E"/>
    <w:rsid w:val="00D2336B"/>
    <w:rsid w:val="00D235C7"/>
    <w:rsid w:val="00D238B8"/>
    <w:rsid w:val="00D23AAF"/>
    <w:rsid w:val="00D2443E"/>
    <w:rsid w:val="00D24F96"/>
    <w:rsid w:val="00D25314"/>
    <w:rsid w:val="00D2713E"/>
    <w:rsid w:val="00D27225"/>
    <w:rsid w:val="00D278D7"/>
    <w:rsid w:val="00D279D3"/>
    <w:rsid w:val="00D27E6E"/>
    <w:rsid w:val="00D313D2"/>
    <w:rsid w:val="00D3140B"/>
    <w:rsid w:val="00D3162B"/>
    <w:rsid w:val="00D31B63"/>
    <w:rsid w:val="00D31CCA"/>
    <w:rsid w:val="00D32659"/>
    <w:rsid w:val="00D32DFE"/>
    <w:rsid w:val="00D33091"/>
    <w:rsid w:val="00D331DB"/>
    <w:rsid w:val="00D3329D"/>
    <w:rsid w:val="00D33F7A"/>
    <w:rsid w:val="00D34263"/>
    <w:rsid w:val="00D344B2"/>
    <w:rsid w:val="00D34916"/>
    <w:rsid w:val="00D3492F"/>
    <w:rsid w:val="00D35081"/>
    <w:rsid w:val="00D35297"/>
    <w:rsid w:val="00D354A7"/>
    <w:rsid w:val="00D35794"/>
    <w:rsid w:val="00D35EE0"/>
    <w:rsid w:val="00D35FB8"/>
    <w:rsid w:val="00D36499"/>
    <w:rsid w:val="00D3675C"/>
    <w:rsid w:val="00D36B42"/>
    <w:rsid w:val="00D36FC1"/>
    <w:rsid w:val="00D377C4"/>
    <w:rsid w:val="00D415D2"/>
    <w:rsid w:val="00D42A6B"/>
    <w:rsid w:val="00D42DF8"/>
    <w:rsid w:val="00D4513B"/>
    <w:rsid w:val="00D45E76"/>
    <w:rsid w:val="00D45EAE"/>
    <w:rsid w:val="00D46D90"/>
    <w:rsid w:val="00D46F7D"/>
    <w:rsid w:val="00D47B87"/>
    <w:rsid w:val="00D513C3"/>
    <w:rsid w:val="00D5215B"/>
    <w:rsid w:val="00D52D94"/>
    <w:rsid w:val="00D53F5F"/>
    <w:rsid w:val="00D546DB"/>
    <w:rsid w:val="00D54878"/>
    <w:rsid w:val="00D54DE3"/>
    <w:rsid w:val="00D553FE"/>
    <w:rsid w:val="00D558FF"/>
    <w:rsid w:val="00D55EFD"/>
    <w:rsid w:val="00D5683A"/>
    <w:rsid w:val="00D57BC3"/>
    <w:rsid w:val="00D60CCF"/>
    <w:rsid w:val="00D60D81"/>
    <w:rsid w:val="00D60E7A"/>
    <w:rsid w:val="00D60F58"/>
    <w:rsid w:val="00D616C8"/>
    <w:rsid w:val="00D6183C"/>
    <w:rsid w:val="00D6243A"/>
    <w:rsid w:val="00D62643"/>
    <w:rsid w:val="00D627C5"/>
    <w:rsid w:val="00D63024"/>
    <w:rsid w:val="00D635D3"/>
    <w:rsid w:val="00D6583F"/>
    <w:rsid w:val="00D6636E"/>
    <w:rsid w:val="00D663BC"/>
    <w:rsid w:val="00D66519"/>
    <w:rsid w:val="00D66596"/>
    <w:rsid w:val="00D667D6"/>
    <w:rsid w:val="00D66B9D"/>
    <w:rsid w:val="00D72128"/>
    <w:rsid w:val="00D725AA"/>
    <w:rsid w:val="00D72974"/>
    <w:rsid w:val="00D72C47"/>
    <w:rsid w:val="00D73172"/>
    <w:rsid w:val="00D73BEA"/>
    <w:rsid w:val="00D74949"/>
    <w:rsid w:val="00D76557"/>
    <w:rsid w:val="00D766A1"/>
    <w:rsid w:val="00D76F78"/>
    <w:rsid w:val="00D771BC"/>
    <w:rsid w:val="00D8001F"/>
    <w:rsid w:val="00D80881"/>
    <w:rsid w:val="00D80AF9"/>
    <w:rsid w:val="00D80DEA"/>
    <w:rsid w:val="00D80FAB"/>
    <w:rsid w:val="00D811E1"/>
    <w:rsid w:val="00D813B2"/>
    <w:rsid w:val="00D82140"/>
    <w:rsid w:val="00D82265"/>
    <w:rsid w:val="00D8295E"/>
    <w:rsid w:val="00D82B36"/>
    <w:rsid w:val="00D8361A"/>
    <w:rsid w:val="00D83E06"/>
    <w:rsid w:val="00D841CA"/>
    <w:rsid w:val="00D8487A"/>
    <w:rsid w:val="00D84B4C"/>
    <w:rsid w:val="00D8617F"/>
    <w:rsid w:val="00D86562"/>
    <w:rsid w:val="00D875D7"/>
    <w:rsid w:val="00D8778C"/>
    <w:rsid w:val="00D87B51"/>
    <w:rsid w:val="00D87D06"/>
    <w:rsid w:val="00D87FC2"/>
    <w:rsid w:val="00D904B7"/>
    <w:rsid w:val="00D9080E"/>
    <w:rsid w:val="00D91824"/>
    <w:rsid w:val="00D9182A"/>
    <w:rsid w:val="00D91DC1"/>
    <w:rsid w:val="00D92110"/>
    <w:rsid w:val="00D92E49"/>
    <w:rsid w:val="00D93335"/>
    <w:rsid w:val="00D941C4"/>
    <w:rsid w:val="00D947A2"/>
    <w:rsid w:val="00D9551E"/>
    <w:rsid w:val="00D96149"/>
    <w:rsid w:val="00D96310"/>
    <w:rsid w:val="00D96F1A"/>
    <w:rsid w:val="00D96F24"/>
    <w:rsid w:val="00D973E9"/>
    <w:rsid w:val="00D9767B"/>
    <w:rsid w:val="00D9795B"/>
    <w:rsid w:val="00D97C55"/>
    <w:rsid w:val="00DA0352"/>
    <w:rsid w:val="00DA0D22"/>
    <w:rsid w:val="00DA0E47"/>
    <w:rsid w:val="00DA11F8"/>
    <w:rsid w:val="00DA1380"/>
    <w:rsid w:val="00DA152E"/>
    <w:rsid w:val="00DA2347"/>
    <w:rsid w:val="00DA2380"/>
    <w:rsid w:val="00DA2A6F"/>
    <w:rsid w:val="00DA2F40"/>
    <w:rsid w:val="00DA383A"/>
    <w:rsid w:val="00DA5CE3"/>
    <w:rsid w:val="00DA6110"/>
    <w:rsid w:val="00DA6188"/>
    <w:rsid w:val="00DA674C"/>
    <w:rsid w:val="00DA6F5C"/>
    <w:rsid w:val="00DA7B0F"/>
    <w:rsid w:val="00DB061C"/>
    <w:rsid w:val="00DB06B0"/>
    <w:rsid w:val="00DB086D"/>
    <w:rsid w:val="00DB093F"/>
    <w:rsid w:val="00DB1370"/>
    <w:rsid w:val="00DB2632"/>
    <w:rsid w:val="00DB2AD0"/>
    <w:rsid w:val="00DB3262"/>
    <w:rsid w:val="00DB36E4"/>
    <w:rsid w:val="00DB3F8A"/>
    <w:rsid w:val="00DB4772"/>
    <w:rsid w:val="00DB4801"/>
    <w:rsid w:val="00DB4931"/>
    <w:rsid w:val="00DB4A0A"/>
    <w:rsid w:val="00DB4ECB"/>
    <w:rsid w:val="00DB50B5"/>
    <w:rsid w:val="00DB5745"/>
    <w:rsid w:val="00DB61DD"/>
    <w:rsid w:val="00DB6616"/>
    <w:rsid w:val="00DB67A6"/>
    <w:rsid w:val="00DB6B49"/>
    <w:rsid w:val="00DB71EA"/>
    <w:rsid w:val="00DB77F2"/>
    <w:rsid w:val="00DB77FA"/>
    <w:rsid w:val="00DB7FA0"/>
    <w:rsid w:val="00DC0679"/>
    <w:rsid w:val="00DC08B8"/>
    <w:rsid w:val="00DC0A2A"/>
    <w:rsid w:val="00DC1D00"/>
    <w:rsid w:val="00DC1FD0"/>
    <w:rsid w:val="00DC25FD"/>
    <w:rsid w:val="00DC26DA"/>
    <w:rsid w:val="00DC3EA7"/>
    <w:rsid w:val="00DC615A"/>
    <w:rsid w:val="00DC622A"/>
    <w:rsid w:val="00DD040B"/>
    <w:rsid w:val="00DD0936"/>
    <w:rsid w:val="00DD0D25"/>
    <w:rsid w:val="00DD244D"/>
    <w:rsid w:val="00DD26D9"/>
    <w:rsid w:val="00DD2D1E"/>
    <w:rsid w:val="00DD3A23"/>
    <w:rsid w:val="00DD3B63"/>
    <w:rsid w:val="00DD3E5A"/>
    <w:rsid w:val="00DD4060"/>
    <w:rsid w:val="00DD4E9F"/>
    <w:rsid w:val="00DD53D8"/>
    <w:rsid w:val="00DD5D39"/>
    <w:rsid w:val="00DD5EE6"/>
    <w:rsid w:val="00DD633C"/>
    <w:rsid w:val="00DD6422"/>
    <w:rsid w:val="00DD69A8"/>
    <w:rsid w:val="00DD7F0D"/>
    <w:rsid w:val="00DE1500"/>
    <w:rsid w:val="00DE25BE"/>
    <w:rsid w:val="00DE2839"/>
    <w:rsid w:val="00DE2A6F"/>
    <w:rsid w:val="00DE4103"/>
    <w:rsid w:val="00DE452B"/>
    <w:rsid w:val="00DE4ADC"/>
    <w:rsid w:val="00DE5A42"/>
    <w:rsid w:val="00DE78E7"/>
    <w:rsid w:val="00DE7A1E"/>
    <w:rsid w:val="00DF1392"/>
    <w:rsid w:val="00DF1CF5"/>
    <w:rsid w:val="00DF2750"/>
    <w:rsid w:val="00DF29CD"/>
    <w:rsid w:val="00DF2E97"/>
    <w:rsid w:val="00DF4B41"/>
    <w:rsid w:val="00DF5369"/>
    <w:rsid w:val="00DF5651"/>
    <w:rsid w:val="00DF5AF1"/>
    <w:rsid w:val="00DF6060"/>
    <w:rsid w:val="00DF63A3"/>
    <w:rsid w:val="00DF6A47"/>
    <w:rsid w:val="00DF6C3E"/>
    <w:rsid w:val="00DF6F0C"/>
    <w:rsid w:val="00DF6F2F"/>
    <w:rsid w:val="00DF7C95"/>
    <w:rsid w:val="00E00429"/>
    <w:rsid w:val="00E00443"/>
    <w:rsid w:val="00E00A4F"/>
    <w:rsid w:val="00E00C44"/>
    <w:rsid w:val="00E01071"/>
    <w:rsid w:val="00E015E7"/>
    <w:rsid w:val="00E020B1"/>
    <w:rsid w:val="00E03020"/>
    <w:rsid w:val="00E031BE"/>
    <w:rsid w:val="00E035A0"/>
    <w:rsid w:val="00E04079"/>
    <w:rsid w:val="00E04A44"/>
    <w:rsid w:val="00E04A55"/>
    <w:rsid w:val="00E04D02"/>
    <w:rsid w:val="00E0598C"/>
    <w:rsid w:val="00E05D6C"/>
    <w:rsid w:val="00E06599"/>
    <w:rsid w:val="00E0668C"/>
    <w:rsid w:val="00E06A8C"/>
    <w:rsid w:val="00E06DD1"/>
    <w:rsid w:val="00E06FB1"/>
    <w:rsid w:val="00E077EC"/>
    <w:rsid w:val="00E10E2C"/>
    <w:rsid w:val="00E1155D"/>
    <w:rsid w:val="00E117AD"/>
    <w:rsid w:val="00E1273D"/>
    <w:rsid w:val="00E1293D"/>
    <w:rsid w:val="00E12B94"/>
    <w:rsid w:val="00E12D36"/>
    <w:rsid w:val="00E13556"/>
    <w:rsid w:val="00E146D5"/>
    <w:rsid w:val="00E14A94"/>
    <w:rsid w:val="00E153C1"/>
    <w:rsid w:val="00E15BAE"/>
    <w:rsid w:val="00E164FE"/>
    <w:rsid w:val="00E168BC"/>
    <w:rsid w:val="00E16A88"/>
    <w:rsid w:val="00E16CDE"/>
    <w:rsid w:val="00E16D17"/>
    <w:rsid w:val="00E171DC"/>
    <w:rsid w:val="00E174F0"/>
    <w:rsid w:val="00E17C80"/>
    <w:rsid w:val="00E17E33"/>
    <w:rsid w:val="00E17FFB"/>
    <w:rsid w:val="00E20441"/>
    <w:rsid w:val="00E206F4"/>
    <w:rsid w:val="00E21390"/>
    <w:rsid w:val="00E220D2"/>
    <w:rsid w:val="00E2379F"/>
    <w:rsid w:val="00E237E2"/>
    <w:rsid w:val="00E24117"/>
    <w:rsid w:val="00E2497A"/>
    <w:rsid w:val="00E258BC"/>
    <w:rsid w:val="00E26184"/>
    <w:rsid w:val="00E27B73"/>
    <w:rsid w:val="00E27C19"/>
    <w:rsid w:val="00E30015"/>
    <w:rsid w:val="00E33281"/>
    <w:rsid w:val="00E33BD7"/>
    <w:rsid w:val="00E349EF"/>
    <w:rsid w:val="00E34F03"/>
    <w:rsid w:val="00E35063"/>
    <w:rsid w:val="00E3521F"/>
    <w:rsid w:val="00E35883"/>
    <w:rsid w:val="00E35BD7"/>
    <w:rsid w:val="00E363C7"/>
    <w:rsid w:val="00E364E7"/>
    <w:rsid w:val="00E3688D"/>
    <w:rsid w:val="00E3691B"/>
    <w:rsid w:val="00E37050"/>
    <w:rsid w:val="00E371E3"/>
    <w:rsid w:val="00E37BB9"/>
    <w:rsid w:val="00E401F7"/>
    <w:rsid w:val="00E41420"/>
    <w:rsid w:val="00E415AE"/>
    <w:rsid w:val="00E42AF8"/>
    <w:rsid w:val="00E43802"/>
    <w:rsid w:val="00E44AB5"/>
    <w:rsid w:val="00E44D6A"/>
    <w:rsid w:val="00E456FF"/>
    <w:rsid w:val="00E4584E"/>
    <w:rsid w:val="00E45BA9"/>
    <w:rsid w:val="00E46001"/>
    <w:rsid w:val="00E46408"/>
    <w:rsid w:val="00E46546"/>
    <w:rsid w:val="00E4760C"/>
    <w:rsid w:val="00E47EBE"/>
    <w:rsid w:val="00E50713"/>
    <w:rsid w:val="00E50AE6"/>
    <w:rsid w:val="00E51AAF"/>
    <w:rsid w:val="00E520DF"/>
    <w:rsid w:val="00E539C8"/>
    <w:rsid w:val="00E5505F"/>
    <w:rsid w:val="00E55BF7"/>
    <w:rsid w:val="00E56967"/>
    <w:rsid w:val="00E5734F"/>
    <w:rsid w:val="00E60592"/>
    <w:rsid w:val="00E60688"/>
    <w:rsid w:val="00E61C9A"/>
    <w:rsid w:val="00E62430"/>
    <w:rsid w:val="00E625B7"/>
    <w:rsid w:val="00E62B21"/>
    <w:rsid w:val="00E62DC9"/>
    <w:rsid w:val="00E639A1"/>
    <w:rsid w:val="00E63AF6"/>
    <w:rsid w:val="00E63C0D"/>
    <w:rsid w:val="00E64401"/>
    <w:rsid w:val="00E64728"/>
    <w:rsid w:val="00E65887"/>
    <w:rsid w:val="00E6622F"/>
    <w:rsid w:val="00E677E2"/>
    <w:rsid w:val="00E67B6D"/>
    <w:rsid w:val="00E703F3"/>
    <w:rsid w:val="00E711E4"/>
    <w:rsid w:val="00E71901"/>
    <w:rsid w:val="00E71C66"/>
    <w:rsid w:val="00E7239B"/>
    <w:rsid w:val="00E7270A"/>
    <w:rsid w:val="00E732D2"/>
    <w:rsid w:val="00E7452F"/>
    <w:rsid w:val="00E74EA7"/>
    <w:rsid w:val="00E75096"/>
    <w:rsid w:val="00E75928"/>
    <w:rsid w:val="00E759B9"/>
    <w:rsid w:val="00E759DB"/>
    <w:rsid w:val="00E75ECF"/>
    <w:rsid w:val="00E80F0D"/>
    <w:rsid w:val="00E80F4E"/>
    <w:rsid w:val="00E81311"/>
    <w:rsid w:val="00E82DA6"/>
    <w:rsid w:val="00E8315D"/>
    <w:rsid w:val="00E83D78"/>
    <w:rsid w:val="00E849EE"/>
    <w:rsid w:val="00E84D08"/>
    <w:rsid w:val="00E84D3C"/>
    <w:rsid w:val="00E84DB9"/>
    <w:rsid w:val="00E86791"/>
    <w:rsid w:val="00E87103"/>
    <w:rsid w:val="00E87635"/>
    <w:rsid w:val="00E87710"/>
    <w:rsid w:val="00E87B08"/>
    <w:rsid w:val="00E87F42"/>
    <w:rsid w:val="00E904AC"/>
    <w:rsid w:val="00E917CC"/>
    <w:rsid w:val="00E91FE2"/>
    <w:rsid w:val="00E92091"/>
    <w:rsid w:val="00E9243A"/>
    <w:rsid w:val="00E925EA"/>
    <w:rsid w:val="00E9288F"/>
    <w:rsid w:val="00E928D6"/>
    <w:rsid w:val="00E92B2C"/>
    <w:rsid w:val="00E93118"/>
    <w:rsid w:val="00E945FF"/>
    <w:rsid w:val="00E949C0"/>
    <w:rsid w:val="00E956BD"/>
    <w:rsid w:val="00E96783"/>
    <w:rsid w:val="00E96C2C"/>
    <w:rsid w:val="00E96C85"/>
    <w:rsid w:val="00E96F15"/>
    <w:rsid w:val="00E9716E"/>
    <w:rsid w:val="00E978F0"/>
    <w:rsid w:val="00EA02E2"/>
    <w:rsid w:val="00EA02EE"/>
    <w:rsid w:val="00EA0E05"/>
    <w:rsid w:val="00EA0F18"/>
    <w:rsid w:val="00EA12B4"/>
    <w:rsid w:val="00EA218A"/>
    <w:rsid w:val="00EA235D"/>
    <w:rsid w:val="00EA4020"/>
    <w:rsid w:val="00EA4155"/>
    <w:rsid w:val="00EA476A"/>
    <w:rsid w:val="00EA55A5"/>
    <w:rsid w:val="00EA7286"/>
    <w:rsid w:val="00EA7503"/>
    <w:rsid w:val="00EA77A5"/>
    <w:rsid w:val="00EB00F6"/>
    <w:rsid w:val="00EB06C0"/>
    <w:rsid w:val="00EB0930"/>
    <w:rsid w:val="00EB1AA1"/>
    <w:rsid w:val="00EB20A7"/>
    <w:rsid w:val="00EB2168"/>
    <w:rsid w:val="00EB2456"/>
    <w:rsid w:val="00EB329D"/>
    <w:rsid w:val="00EB435E"/>
    <w:rsid w:val="00EB46C4"/>
    <w:rsid w:val="00EB536D"/>
    <w:rsid w:val="00EB556A"/>
    <w:rsid w:val="00EB55F1"/>
    <w:rsid w:val="00EB5B3F"/>
    <w:rsid w:val="00EB5B82"/>
    <w:rsid w:val="00EB7E7D"/>
    <w:rsid w:val="00EC01CD"/>
    <w:rsid w:val="00EC0D45"/>
    <w:rsid w:val="00EC0DAB"/>
    <w:rsid w:val="00EC1EDE"/>
    <w:rsid w:val="00EC1F06"/>
    <w:rsid w:val="00EC2584"/>
    <w:rsid w:val="00EC32C7"/>
    <w:rsid w:val="00EC3845"/>
    <w:rsid w:val="00EC5AF4"/>
    <w:rsid w:val="00EC68A7"/>
    <w:rsid w:val="00EC71C3"/>
    <w:rsid w:val="00ED0562"/>
    <w:rsid w:val="00ED108C"/>
    <w:rsid w:val="00ED2076"/>
    <w:rsid w:val="00ED2F6E"/>
    <w:rsid w:val="00ED3485"/>
    <w:rsid w:val="00ED40AE"/>
    <w:rsid w:val="00ED470D"/>
    <w:rsid w:val="00ED4984"/>
    <w:rsid w:val="00ED4CBC"/>
    <w:rsid w:val="00ED5BEF"/>
    <w:rsid w:val="00ED5E3A"/>
    <w:rsid w:val="00ED6003"/>
    <w:rsid w:val="00ED6505"/>
    <w:rsid w:val="00ED6525"/>
    <w:rsid w:val="00ED7319"/>
    <w:rsid w:val="00EE0179"/>
    <w:rsid w:val="00EE2619"/>
    <w:rsid w:val="00EE2689"/>
    <w:rsid w:val="00EE3357"/>
    <w:rsid w:val="00EE34CF"/>
    <w:rsid w:val="00EE3F21"/>
    <w:rsid w:val="00EE4515"/>
    <w:rsid w:val="00EE482B"/>
    <w:rsid w:val="00EE4D04"/>
    <w:rsid w:val="00EE6842"/>
    <w:rsid w:val="00EE719A"/>
    <w:rsid w:val="00EF00AE"/>
    <w:rsid w:val="00EF06AD"/>
    <w:rsid w:val="00EF0A57"/>
    <w:rsid w:val="00EF0F25"/>
    <w:rsid w:val="00EF2DC8"/>
    <w:rsid w:val="00EF38C8"/>
    <w:rsid w:val="00EF4C88"/>
    <w:rsid w:val="00EF55A4"/>
    <w:rsid w:val="00EF5E1B"/>
    <w:rsid w:val="00EF5E9F"/>
    <w:rsid w:val="00EF676F"/>
    <w:rsid w:val="00EF7FD2"/>
    <w:rsid w:val="00F0000A"/>
    <w:rsid w:val="00F0009E"/>
    <w:rsid w:val="00F01A14"/>
    <w:rsid w:val="00F01C8F"/>
    <w:rsid w:val="00F01CEA"/>
    <w:rsid w:val="00F02110"/>
    <w:rsid w:val="00F029A3"/>
    <w:rsid w:val="00F03CCC"/>
    <w:rsid w:val="00F04572"/>
    <w:rsid w:val="00F049CD"/>
    <w:rsid w:val="00F04B2B"/>
    <w:rsid w:val="00F05839"/>
    <w:rsid w:val="00F06D9E"/>
    <w:rsid w:val="00F06E53"/>
    <w:rsid w:val="00F0710C"/>
    <w:rsid w:val="00F0759F"/>
    <w:rsid w:val="00F07F7B"/>
    <w:rsid w:val="00F1028B"/>
    <w:rsid w:val="00F115DD"/>
    <w:rsid w:val="00F11603"/>
    <w:rsid w:val="00F1161A"/>
    <w:rsid w:val="00F1163B"/>
    <w:rsid w:val="00F11EAF"/>
    <w:rsid w:val="00F12D13"/>
    <w:rsid w:val="00F1313E"/>
    <w:rsid w:val="00F134F2"/>
    <w:rsid w:val="00F14345"/>
    <w:rsid w:val="00F1456A"/>
    <w:rsid w:val="00F145E4"/>
    <w:rsid w:val="00F14BD6"/>
    <w:rsid w:val="00F14F43"/>
    <w:rsid w:val="00F15C4C"/>
    <w:rsid w:val="00F15FAF"/>
    <w:rsid w:val="00F1638D"/>
    <w:rsid w:val="00F171C9"/>
    <w:rsid w:val="00F17A24"/>
    <w:rsid w:val="00F17DCC"/>
    <w:rsid w:val="00F21300"/>
    <w:rsid w:val="00F21501"/>
    <w:rsid w:val="00F21D60"/>
    <w:rsid w:val="00F22BF0"/>
    <w:rsid w:val="00F22E0A"/>
    <w:rsid w:val="00F22F5C"/>
    <w:rsid w:val="00F230C3"/>
    <w:rsid w:val="00F233ED"/>
    <w:rsid w:val="00F23A2B"/>
    <w:rsid w:val="00F2448F"/>
    <w:rsid w:val="00F2484D"/>
    <w:rsid w:val="00F2577F"/>
    <w:rsid w:val="00F25CA2"/>
    <w:rsid w:val="00F25F8E"/>
    <w:rsid w:val="00F26FCB"/>
    <w:rsid w:val="00F27969"/>
    <w:rsid w:val="00F27ACB"/>
    <w:rsid w:val="00F30E65"/>
    <w:rsid w:val="00F30F0E"/>
    <w:rsid w:val="00F31237"/>
    <w:rsid w:val="00F315AB"/>
    <w:rsid w:val="00F32E7A"/>
    <w:rsid w:val="00F33E48"/>
    <w:rsid w:val="00F3449B"/>
    <w:rsid w:val="00F34C4F"/>
    <w:rsid w:val="00F34D11"/>
    <w:rsid w:val="00F34EC1"/>
    <w:rsid w:val="00F354BC"/>
    <w:rsid w:val="00F356AC"/>
    <w:rsid w:val="00F379F6"/>
    <w:rsid w:val="00F37FBA"/>
    <w:rsid w:val="00F40A18"/>
    <w:rsid w:val="00F40B0E"/>
    <w:rsid w:val="00F40FAF"/>
    <w:rsid w:val="00F41258"/>
    <w:rsid w:val="00F42C78"/>
    <w:rsid w:val="00F43027"/>
    <w:rsid w:val="00F437D3"/>
    <w:rsid w:val="00F43DD5"/>
    <w:rsid w:val="00F44060"/>
    <w:rsid w:val="00F44CA3"/>
    <w:rsid w:val="00F453D5"/>
    <w:rsid w:val="00F4581D"/>
    <w:rsid w:val="00F458E9"/>
    <w:rsid w:val="00F45B32"/>
    <w:rsid w:val="00F46326"/>
    <w:rsid w:val="00F46802"/>
    <w:rsid w:val="00F46EF0"/>
    <w:rsid w:val="00F4708B"/>
    <w:rsid w:val="00F47F3D"/>
    <w:rsid w:val="00F502CF"/>
    <w:rsid w:val="00F5063C"/>
    <w:rsid w:val="00F50AF7"/>
    <w:rsid w:val="00F511C5"/>
    <w:rsid w:val="00F5197D"/>
    <w:rsid w:val="00F51ECE"/>
    <w:rsid w:val="00F52122"/>
    <w:rsid w:val="00F5261C"/>
    <w:rsid w:val="00F52848"/>
    <w:rsid w:val="00F5306E"/>
    <w:rsid w:val="00F5330E"/>
    <w:rsid w:val="00F534A9"/>
    <w:rsid w:val="00F53655"/>
    <w:rsid w:val="00F53A78"/>
    <w:rsid w:val="00F53BFE"/>
    <w:rsid w:val="00F53ED2"/>
    <w:rsid w:val="00F53ED5"/>
    <w:rsid w:val="00F53F4D"/>
    <w:rsid w:val="00F5404D"/>
    <w:rsid w:val="00F54A56"/>
    <w:rsid w:val="00F55507"/>
    <w:rsid w:val="00F559A2"/>
    <w:rsid w:val="00F55C81"/>
    <w:rsid w:val="00F5645F"/>
    <w:rsid w:val="00F567A3"/>
    <w:rsid w:val="00F56AE3"/>
    <w:rsid w:val="00F60005"/>
    <w:rsid w:val="00F60E10"/>
    <w:rsid w:val="00F61050"/>
    <w:rsid w:val="00F61515"/>
    <w:rsid w:val="00F6165D"/>
    <w:rsid w:val="00F61855"/>
    <w:rsid w:val="00F620CC"/>
    <w:rsid w:val="00F638A2"/>
    <w:rsid w:val="00F63D05"/>
    <w:rsid w:val="00F63E6E"/>
    <w:rsid w:val="00F6585A"/>
    <w:rsid w:val="00F65B80"/>
    <w:rsid w:val="00F65FC0"/>
    <w:rsid w:val="00F66248"/>
    <w:rsid w:val="00F668F3"/>
    <w:rsid w:val="00F671D7"/>
    <w:rsid w:val="00F673F3"/>
    <w:rsid w:val="00F70664"/>
    <w:rsid w:val="00F710BB"/>
    <w:rsid w:val="00F712C2"/>
    <w:rsid w:val="00F71553"/>
    <w:rsid w:val="00F7167D"/>
    <w:rsid w:val="00F71A81"/>
    <w:rsid w:val="00F71A8C"/>
    <w:rsid w:val="00F71BEC"/>
    <w:rsid w:val="00F724AF"/>
    <w:rsid w:val="00F729C7"/>
    <w:rsid w:val="00F72AFE"/>
    <w:rsid w:val="00F72F6C"/>
    <w:rsid w:val="00F733C8"/>
    <w:rsid w:val="00F7476B"/>
    <w:rsid w:val="00F751D5"/>
    <w:rsid w:val="00F75DBB"/>
    <w:rsid w:val="00F763CC"/>
    <w:rsid w:val="00F76733"/>
    <w:rsid w:val="00F76B95"/>
    <w:rsid w:val="00F80259"/>
    <w:rsid w:val="00F8071E"/>
    <w:rsid w:val="00F80D47"/>
    <w:rsid w:val="00F81E97"/>
    <w:rsid w:val="00F81EBB"/>
    <w:rsid w:val="00F82863"/>
    <w:rsid w:val="00F83B51"/>
    <w:rsid w:val="00F843EA"/>
    <w:rsid w:val="00F847BC"/>
    <w:rsid w:val="00F84A4A"/>
    <w:rsid w:val="00F84B96"/>
    <w:rsid w:val="00F84F18"/>
    <w:rsid w:val="00F85E15"/>
    <w:rsid w:val="00F90ABE"/>
    <w:rsid w:val="00F90E03"/>
    <w:rsid w:val="00F918B7"/>
    <w:rsid w:val="00F91FC5"/>
    <w:rsid w:val="00F92066"/>
    <w:rsid w:val="00F92FB8"/>
    <w:rsid w:val="00F93854"/>
    <w:rsid w:val="00F93CCB"/>
    <w:rsid w:val="00F9558F"/>
    <w:rsid w:val="00F972C6"/>
    <w:rsid w:val="00F97B73"/>
    <w:rsid w:val="00F97C8E"/>
    <w:rsid w:val="00FA05AB"/>
    <w:rsid w:val="00FA06FB"/>
    <w:rsid w:val="00FA0A77"/>
    <w:rsid w:val="00FA2C23"/>
    <w:rsid w:val="00FA2F3A"/>
    <w:rsid w:val="00FA33FE"/>
    <w:rsid w:val="00FA3D4C"/>
    <w:rsid w:val="00FA4105"/>
    <w:rsid w:val="00FA4276"/>
    <w:rsid w:val="00FA434C"/>
    <w:rsid w:val="00FA4504"/>
    <w:rsid w:val="00FA4DBF"/>
    <w:rsid w:val="00FA4E84"/>
    <w:rsid w:val="00FA52B3"/>
    <w:rsid w:val="00FA5342"/>
    <w:rsid w:val="00FA5E0E"/>
    <w:rsid w:val="00FA5F07"/>
    <w:rsid w:val="00FA6095"/>
    <w:rsid w:val="00FA6D83"/>
    <w:rsid w:val="00FA6E5A"/>
    <w:rsid w:val="00FA7EF0"/>
    <w:rsid w:val="00FB0D03"/>
    <w:rsid w:val="00FB15F3"/>
    <w:rsid w:val="00FB174D"/>
    <w:rsid w:val="00FB1C7A"/>
    <w:rsid w:val="00FB1CFA"/>
    <w:rsid w:val="00FB339B"/>
    <w:rsid w:val="00FB33F4"/>
    <w:rsid w:val="00FB3F92"/>
    <w:rsid w:val="00FB4CE3"/>
    <w:rsid w:val="00FB4D10"/>
    <w:rsid w:val="00FB521B"/>
    <w:rsid w:val="00FB656F"/>
    <w:rsid w:val="00FB6725"/>
    <w:rsid w:val="00FB691D"/>
    <w:rsid w:val="00FB75A8"/>
    <w:rsid w:val="00FB76B5"/>
    <w:rsid w:val="00FB78F8"/>
    <w:rsid w:val="00FB7AA1"/>
    <w:rsid w:val="00FB7F16"/>
    <w:rsid w:val="00FC04B2"/>
    <w:rsid w:val="00FC094C"/>
    <w:rsid w:val="00FC1BCA"/>
    <w:rsid w:val="00FC211D"/>
    <w:rsid w:val="00FC24CB"/>
    <w:rsid w:val="00FC2A70"/>
    <w:rsid w:val="00FC3026"/>
    <w:rsid w:val="00FC3A16"/>
    <w:rsid w:val="00FC4113"/>
    <w:rsid w:val="00FC46BF"/>
    <w:rsid w:val="00FC4EF1"/>
    <w:rsid w:val="00FC55A2"/>
    <w:rsid w:val="00FC5620"/>
    <w:rsid w:val="00FC58B5"/>
    <w:rsid w:val="00FC5D7E"/>
    <w:rsid w:val="00FC6508"/>
    <w:rsid w:val="00FC77B6"/>
    <w:rsid w:val="00FD0448"/>
    <w:rsid w:val="00FD063C"/>
    <w:rsid w:val="00FD0872"/>
    <w:rsid w:val="00FD0F55"/>
    <w:rsid w:val="00FD1297"/>
    <w:rsid w:val="00FD1318"/>
    <w:rsid w:val="00FD1333"/>
    <w:rsid w:val="00FD1EC0"/>
    <w:rsid w:val="00FD3E92"/>
    <w:rsid w:val="00FD7106"/>
    <w:rsid w:val="00FD711A"/>
    <w:rsid w:val="00FE0446"/>
    <w:rsid w:val="00FE05F6"/>
    <w:rsid w:val="00FE11B5"/>
    <w:rsid w:val="00FE122F"/>
    <w:rsid w:val="00FE154E"/>
    <w:rsid w:val="00FE15D3"/>
    <w:rsid w:val="00FE1996"/>
    <w:rsid w:val="00FE2563"/>
    <w:rsid w:val="00FE4C20"/>
    <w:rsid w:val="00FE4CF0"/>
    <w:rsid w:val="00FE5DE9"/>
    <w:rsid w:val="00FE7001"/>
    <w:rsid w:val="00FE7B10"/>
    <w:rsid w:val="00FF05AB"/>
    <w:rsid w:val="00FF0AED"/>
    <w:rsid w:val="00FF20C6"/>
    <w:rsid w:val="00FF24AE"/>
    <w:rsid w:val="00FF2729"/>
    <w:rsid w:val="00FF29B2"/>
    <w:rsid w:val="00FF2E49"/>
    <w:rsid w:val="00FF44CC"/>
    <w:rsid w:val="00FF4622"/>
    <w:rsid w:val="00FF468B"/>
    <w:rsid w:val="00FF4A09"/>
    <w:rsid w:val="00FF603B"/>
    <w:rsid w:val="00FF652E"/>
    <w:rsid w:val="00FF71BC"/>
    <w:rsid w:val="011363BD"/>
    <w:rsid w:val="011E3624"/>
    <w:rsid w:val="01511FD7"/>
    <w:rsid w:val="01531D26"/>
    <w:rsid w:val="019F1377"/>
    <w:rsid w:val="019F75E0"/>
    <w:rsid w:val="01A26126"/>
    <w:rsid w:val="01F354AC"/>
    <w:rsid w:val="022F0A88"/>
    <w:rsid w:val="0232679F"/>
    <w:rsid w:val="02680E24"/>
    <w:rsid w:val="027E07FC"/>
    <w:rsid w:val="029814CA"/>
    <w:rsid w:val="02C5006F"/>
    <w:rsid w:val="02CB6195"/>
    <w:rsid w:val="02CF5252"/>
    <w:rsid w:val="030A6CC4"/>
    <w:rsid w:val="031D3CD4"/>
    <w:rsid w:val="031E3D5E"/>
    <w:rsid w:val="032A42B2"/>
    <w:rsid w:val="033468F1"/>
    <w:rsid w:val="03757F3B"/>
    <w:rsid w:val="040E4B14"/>
    <w:rsid w:val="041D397D"/>
    <w:rsid w:val="042D0F09"/>
    <w:rsid w:val="04665F54"/>
    <w:rsid w:val="050E7E26"/>
    <w:rsid w:val="055E7E8F"/>
    <w:rsid w:val="0579109B"/>
    <w:rsid w:val="05A81001"/>
    <w:rsid w:val="05DF4E2C"/>
    <w:rsid w:val="064A3213"/>
    <w:rsid w:val="065D6810"/>
    <w:rsid w:val="06A71DE2"/>
    <w:rsid w:val="06C31727"/>
    <w:rsid w:val="070917FB"/>
    <w:rsid w:val="070E6657"/>
    <w:rsid w:val="072A2343"/>
    <w:rsid w:val="07475E54"/>
    <w:rsid w:val="07CF5CD1"/>
    <w:rsid w:val="07DD40AC"/>
    <w:rsid w:val="07E2472B"/>
    <w:rsid w:val="080E56AB"/>
    <w:rsid w:val="083E764E"/>
    <w:rsid w:val="089D0D92"/>
    <w:rsid w:val="08BA2CC9"/>
    <w:rsid w:val="0911242E"/>
    <w:rsid w:val="09357BE4"/>
    <w:rsid w:val="093E5764"/>
    <w:rsid w:val="096573E8"/>
    <w:rsid w:val="096F323F"/>
    <w:rsid w:val="09FE6007"/>
    <w:rsid w:val="0A0C2029"/>
    <w:rsid w:val="0A100C71"/>
    <w:rsid w:val="0A156BFF"/>
    <w:rsid w:val="0A394CD0"/>
    <w:rsid w:val="0A3B224E"/>
    <w:rsid w:val="0AA14888"/>
    <w:rsid w:val="0AC73067"/>
    <w:rsid w:val="0ADE574C"/>
    <w:rsid w:val="0B0B5DFF"/>
    <w:rsid w:val="0B1761D9"/>
    <w:rsid w:val="0B7F3BCE"/>
    <w:rsid w:val="0BB7309B"/>
    <w:rsid w:val="0BCF4DF0"/>
    <w:rsid w:val="0C123639"/>
    <w:rsid w:val="0C7A490E"/>
    <w:rsid w:val="0D040CED"/>
    <w:rsid w:val="0D047211"/>
    <w:rsid w:val="0D6276FC"/>
    <w:rsid w:val="0D6445C4"/>
    <w:rsid w:val="0D6D481C"/>
    <w:rsid w:val="0D90007D"/>
    <w:rsid w:val="0DA801C4"/>
    <w:rsid w:val="0E517D9D"/>
    <w:rsid w:val="0E6313FB"/>
    <w:rsid w:val="0E94302D"/>
    <w:rsid w:val="0EEF5745"/>
    <w:rsid w:val="0F360C63"/>
    <w:rsid w:val="0F5B450D"/>
    <w:rsid w:val="0F8D6D55"/>
    <w:rsid w:val="0F9518AB"/>
    <w:rsid w:val="101A7A47"/>
    <w:rsid w:val="105A0491"/>
    <w:rsid w:val="107803F7"/>
    <w:rsid w:val="109E7152"/>
    <w:rsid w:val="10C2022A"/>
    <w:rsid w:val="10D80246"/>
    <w:rsid w:val="10FB40F0"/>
    <w:rsid w:val="110D72F8"/>
    <w:rsid w:val="111462CB"/>
    <w:rsid w:val="112A49D6"/>
    <w:rsid w:val="113842F8"/>
    <w:rsid w:val="11482DB4"/>
    <w:rsid w:val="11AB7A42"/>
    <w:rsid w:val="11EA4C18"/>
    <w:rsid w:val="1246440A"/>
    <w:rsid w:val="12691C0A"/>
    <w:rsid w:val="127F4B34"/>
    <w:rsid w:val="12870E40"/>
    <w:rsid w:val="12C26D5B"/>
    <w:rsid w:val="130A5823"/>
    <w:rsid w:val="130C1AA7"/>
    <w:rsid w:val="13200964"/>
    <w:rsid w:val="132A06C9"/>
    <w:rsid w:val="13686887"/>
    <w:rsid w:val="1390326D"/>
    <w:rsid w:val="13A05927"/>
    <w:rsid w:val="142D541F"/>
    <w:rsid w:val="145002AE"/>
    <w:rsid w:val="147A3A27"/>
    <w:rsid w:val="14A71C31"/>
    <w:rsid w:val="150063D7"/>
    <w:rsid w:val="15192006"/>
    <w:rsid w:val="155613D1"/>
    <w:rsid w:val="1589398E"/>
    <w:rsid w:val="159768C7"/>
    <w:rsid w:val="159778C3"/>
    <w:rsid w:val="160F3C58"/>
    <w:rsid w:val="16822C0D"/>
    <w:rsid w:val="1696671B"/>
    <w:rsid w:val="17A17E56"/>
    <w:rsid w:val="17B64E47"/>
    <w:rsid w:val="17BB22EB"/>
    <w:rsid w:val="181C24D3"/>
    <w:rsid w:val="18291542"/>
    <w:rsid w:val="1830631A"/>
    <w:rsid w:val="183B5916"/>
    <w:rsid w:val="18DF1EF8"/>
    <w:rsid w:val="18E80082"/>
    <w:rsid w:val="191F429B"/>
    <w:rsid w:val="198B3B37"/>
    <w:rsid w:val="19B467E1"/>
    <w:rsid w:val="19DC6016"/>
    <w:rsid w:val="19EF75C1"/>
    <w:rsid w:val="19F50076"/>
    <w:rsid w:val="1A3757F0"/>
    <w:rsid w:val="1AAC42A8"/>
    <w:rsid w:val="1B01219A"/>
    <w:rsid w:val="1B1B6D4E"/>
    <w:rsid w:val="1B261B4D"/>
    <w:rsid w:val="1B4147AC"/>
    <w:rsid w:val="1B99253B"/>
    <w:rsid w:val="1C5C5ACB"/>
    <w:rsid w:val="1C6D4D43"/>
    <w:rsid w:val="1C7551B2"/>
    <w:rsid w:val="1CBB3E95"/>
    <w:rsid w:val="1CE231B6"/>
    <w:rsid w:val="1CE570EB"/>
    <w:rsid w:val="1D2650B6"/>
    <w:rsid w:val="1D397EE0"/>
    <w:rsid w:val="1D50561F"/>
    <w:rsid w:val="1D8446BC"/>
    <w:rsid w:val="1E2453A1"/>
    <w:rsid w:val="1E3E22B4"/>
    <w:rsid w:val="1E541CDB"/>
    <w:rsid w:val="1E6E5B5B"/>
    <w:rsid w:val="1E8D577A"/>
    <w:rsid w:val="1EAF5500"/>
    <w:rsid w:val="1EC33174"/>
    <w:rsid w:val="1ECF7870"/>
    <w:rsid w:val="1ED82DF3"/>
    <w:rsid w:val="1F157138"/>
    <w:rsid w:val="1F1F35FA"/>
    <w:rsid w:val="1F2E144D"/>
    <w:rsid w:val="1F6C5858"/>
    <w:rsid w:val="1F8F0D2A"/>
    <w:rsid w:val="2034472A"/>
    <w:rsid w:val="20A544E0"/>
    <w:rsid w:val="20D85EE6"/>
    <w:rsid w:val="225D3C53"/>
    <w:rsid w:val="22783E83"/>
    <w:rsid w:val="22B1410F"/>
    <w:rsid w:val="230253F0"/>
    <w:rsid w:val="233E5451"/>
    <w:rsid w:val="23756126"/>
    <w:rsid w:val="23A33A20"/>
    <w:rsid w:val="23D208FE"/>
    <w:rsid w:val="24273C6F"/>
    <w:rsid w:val="243E77E9"/>
    <w:rsid w:val="247104F9"/>
    <w:rsid w:val="24A424E2"/>
    <w:rsid w:val="25360A74"/>
    <w:rsid w:val="254D0A52"/>
    <w:rsid w:val="25677AFA"/>
    <w:rsid w:val="258C5DB4"/>
    <w:rsid w:val="25AD5864"/>
    <w:rsid w:val="25C176F6"/>
    <w:rsid w:val="25C62202"/>
    <w:rsid w:val="26106DE2"/>
    <w:rsid w:val="26247F0D"/>
    <w:rsid w:val="2671244F"/>
    <w:rsid w:val="26A04686"/>
    <w:rsid w:val="26C86299"/>
    <w:rsid w:val="26FA2B09"/>
    <w:rsid w:val="27395283"/>
    <w:rsid w:val="274464D2"/>
    <w:rsid w:val="27602920"/>
    <w:rsid w:val="27785D76"/>
    <w:rsid w:val="278F161D"/>
    <w:rsid w:val="27C73BB0"/>
    <w:rsid w:val="27E15717"/>
    <w:rsid w:val="27FD6515"/>
    <w:rsid w:val="282C0C64"/>
    <w:rsid w:val="2866686A"/>
    <w:rsid w:val="28793E20"/>
    <w:rsid w:val="2893246B"/>
    <w:rsid w:val="28F3695B"/>
    <w:rsid w:val="290943E8"/>
    <w:rsid w:val="29385649"/>
    <w:rsid w:val="296B2D1A"/>
    <w:rsid w:val="29E547DC"/>
    <w:rsid w:val="2A4E13BC"/>
    <w:rsid w:val="2A7F0246"/>
    <w:rsid w:val="2A8E3E56"/>
    <w:rsid w:val="2AEA3419"/>
    <w:rsid w:val="2B9C31EC"/>
    <w:rsid w:val="2B9D2B5F"/>
    <w:rsid w:val="2BB53C5C"/>
    <w:rsid w:val="2CBA7E2C"/>
    <w:rsid w:val="2D253AB9"/>
    <w:rsid w:val="2D4015D4"/>
    <w:rsid w:val="2D5E1E51"/>
    <w:rsid w:val="2DF221AE"/>
    <w:rsid w:val="2E232893"/>
    <w:rsid w:val="2EB70D2B"/>
    <w:rsid w:val="2EE74E50"/>
    <w:rsid w:val="2F3529C4"/>
    <w:rsid w:val="2F5703C5"/>
    <w:rsid w:val="2F706361"/>
    <w:rsid w:val="2FC33787"/>
    <w:rsid w:val="2FD04612"/>
    <w:rsid w:val="2FF92D91"/>
    <w:rsid w:val="30152938"/>
    <w:rsid w:val="302322FE"/>
    <w:rsid w:val="30292A5E"/>
    <w:rsid w:val="305212FE"/>
    <w:rsid w:val="30B16D61"/>
    <w:rsid w:val="313C333A"/>
    <w:rsid w:val="31845A6B"/>
    <w:rsid w:val="31A15959"/>
    <w:rsid w:val="31B6750D"/>
    <w:rsid w:val="31E51077"/>
    <w:rsid w:val="32155351"/>
    <w:rsid w:val="32780945"/>
    <w:rsid w:val="330116FF"/>
    <w:rsid w:val="331F7047"/>
    <w:rsid w:val="33B24B3E"/>
    <w:rsid w:val="33C3504C"/>
    <w:rsid w:val="33E6290A"/>
    <w:rsid w:val="34B43C25"/>
    <w:rsid w:val="351E1D96"/>
    <w:rsid w:val="357C0352"/>
    <w:rsid w:val="35AB0DA3"/>
    <w:rsid w:val="35F14A9B"/>
    <w:rsid w:val="360F2550"/>
    <w:rsid w:val="36433663"/>
    <w:rsid w:val="366126FF"/>
    <w:rsid w:val="369A7B65"/>
    <w:rsid w:val="36C95F72"/>
    <w:rsid w:val="36F6357A"/>
    <w:rsid w:val="37252A1D"/>
    <w:rsid w:val="377C483F"/>
    <w:rsid w:val="378761A4"/>
    <w:rsid w:val="37CC3C72"/>
    <w:rsid w:val="37DF63C0"/>
    <w:rsid w:val="37F112C8"/>
    <w:rsid w:val="381E6A70"/>
    <w:rsid w:val="382770AC"/>
    <w:rsid w:val="38956777"/>
    <w:rsid w:val="38AA6D0D"/>
    <w:rsid w:val="3902576C"/>
    <w:rsid w:val="39091E4F"/>
    <w:rsid w:val="392A753E"/>
    <w:rsid w:val="393B08EA"/>
    <w:rsid w:val="393D52C6"/>
    <w:rsid w:val="39560A91"/>
    <w:rsid w:val="398A6F02"/>
    <w:rsid w:val="39B4274D"/>
    <w:rsid w:val="39C16575"/>
    <w:rsid w:val="39D60525"/>
    <w:rsid w:val="3A606474"/>
    <w:rsid w:val="3A6C7F37"/>
    <w:rsid w:val="3A7830B9"/>
    <w:rsid w:val="3A886145"/>
    <w:rsid w:val="3A930559"/>
    <w:rsid w:val="3A9706DE"/>
    <w:rsid w:val="3AB065D2"/>
    <w:rsid w:val="3AD374CB"/>
    <w:rsid w:val="3B0B5D17"/>
    <w:rsid w:val="3B133F2D"/>
    <w:rsid w:val="3B223063"/>
    <w:rsid w:val="3B4A28D5"/>
    <w:rsid w:val="3B750477"/>
    <w:rsid w:val="3B901574"/>
    <w:rsid w:val="3BD92C16"/>
    <w:rsid w:val="3BE46DC9"/>
    <w:rsid w:val="3C017F5D"/>
    <w:rsid w:val="3C1E72C5"/>
    <w:rsid w:val="3C37600D"/>
    <w:rsid w:val="3C6F7B0A"/>
    <w:rsid w:val="3C814BCB"/>
    <w:rsid w:val="3C8C1626"/>
    <w:rsid w:val="3C932AA0"/>
    <w:rsid w:val="3CAC0ABE"/>
    <w:rsid w:val="3CD00256"/>
    <w:rsid w:val="3CF924E1"/>
    <w:rsid w:val="3D18176D"/>
    <w:rsid w:val="3D2101DE"/>
    <w:rsid w:val="3D7C0075"/>
    <w:rsid w:val="3D7D349B"/>
    <w:rsid w:val="3D84048F"/>
    <w:rsid w:val="3D9141D3"/>
    <w:rsid w:val="3D967A29"/>
    <w:rsid w:val="3DC81C8E"/>
    <w:rsid w:val="3DFF005A"/>
    <w:rsid w:val="3E4B60FC"/>
    <w:rsid w:val="3E6561EB"/>
    <w:rsid w:val="3E7247DA"/>
    <w:rsid w:val="3E78745F"/>
    <w:rsid w:val="3E965333"/>
    <w:rsid w:val="3EA603AE"/>
    <w:rsid w:val="3EA84A09"/>
    <w:rsid w:val="3EB7221E"/>
    <w:rsid w:val="3F3460DC"/>
    <w:rsid w:val="3F704D48"/>
    <w:rsid w:val="3F8F77C8"/>
    <w:rsid w:val="3FF37BBC"/>
    <w:rsid w:val="3FFF122E"/>
    <w:rsid w:val="400526B5"/>
    <w:rsid w:val="409C3F9E"/>
    <w:rsid w:val="40B557E7"/>
    <w:rsid w:val="40CA28EE"/>
    <w:rsid w:val="40D04C04"/>
    <w:rsid w:val="40E51388"/>
    <w:rsid w:val="410C2165"/>
    <w:rsid w:val="41216280"/>
    <w:rsid w:val="412E36FD"/>
    <w:rsid w:val="415840C3"/>
    <w:rsid w:val="41D463BA"/>
    <w:rsid w:val="42057899"/>
    <w:rsid w:val="42070B42"/>
    <w:rsid w:val="424A6DEE"/>
    <w:rsid w:val="4260681B"/>
    <w:rsid w:val="42DA7BF2"/>
    <w:rsid w:val="42E91753"/>
    <w:rsid w:val="43104F81"/>
    <w:rsid w:val="431C13ED"/>
    <w:rsid w:val="43473010"/>
    <w:rsid w:val="435425F1"/>
    <w:rsid w:val="435E2B43"/>
    <w:rsid w:val="43966123"/>
    <w:rsid w:val="43AB4584"/>
    <w:rsid w:val="43EF0FE2"/>
    <w:rsid w:val="43FB34E3"/>
    <w:rsid w:val="443A7B14"/>
    <w:rsid w:val="44696E1D"/>
    <w:rsid w:val="449A3E30"/>
    <w:rsid w:val="44AD639E"/>
    <w:rsid w:val="44D06CEB"/>
    <w:rsid w:val="44D7396F"/>
    <w:rsid w:val="44E96DEA"/>
    <w:rsid w:val="455B692F"/>
    <w:rsid w:val="457D5C58"/>
    <w:rsid w:val="458738D2"/>
    <w:rsid w:val="458746BB"/>
    <w:rsid w:val="4596153A"/>
    <w:rsid w:val="45A50771"/>
    <w:rsid w:val="45EE54CB"/>
    <w:rsid w:val="46253318"/>
    <w:rsid w:val="465D3AAC"/>
    <w:rsid w:val="4660424A"/>
    <w:rsid w:val="46AD3B58"/>
    <w:rsid w:val="46E666E8"/>
    <w:rsid w:val="4703577D"/>
    <w:rsid w:val="471C4FA9"/>
    <w:rsid w:val="477E700D"/>
    <w:rsid w:val="47B32247"/>
    <w:rsid w:val="47B958B5"/>
    <w:rsid w:val="47CC67FF"/>
    <w:rsid w:val="47DE208E"/>
    <w:rsid w:val="47FE5A06"/>
    <w:rsid w:val="480871F0"/>
    <w:rsid w:val="482F3852"/>
    <w:rsid w:val="485472FA"/>
    <w:rsid w:val="486C5F17"/>
    <w:rsid w:val="48810007"/>
    <w:rsid w:val="490A2CC0"/>
    <w:rsid w:val="4910696D"/>
    <w:rsid w:val="49886E3C"/>
    <w:rsid w:val="49A44ACA"/>
    <w:rsid w:val="49CD3C2B"/>
    <w:rsid w:val="4A011529"/>
    <w:rsid w:val="4A292CB2"/>
    <w:rsid w:val="4A372D9B"/>
    <w:rsid w:val="4A500F62"/>
    <w:rsid w:val="4A9119EE"/>
    <w:rsid w:val="4AAA031F"/>
    <w:rsid w:val="4B5A1C87"/>
    <w:rsid w:val="4B921CA2"/>
    <w:rsid w:val="4B9401B4"/>
    <w:rsid w:val="4BA213A7"/>
    <w:rsid w:val="4BB46D99"/>
    <w:rsid w:val="4BBF129A"/>
    <w:rsid w:val="4BD419AB"/>
    <w:rsid w:val="4C2043C6"/>
    <w:rsid w:val="4C8515DF"/>
    <w:rsid w:val="4CBA1D65"/>
    <w:rsid w:val="4CC34DBA"/>
    <w:rsid w:val="4CF04919"/>
    <w:rsid w:val="4CF6127D"/>
    <w:rsid w:val="4D331F40"/>
    <w:rsid w:val="4D813B9C"/>
    <w:rsid w:val="4D937720"/>
    <w:rsid w:val="4DCC0FBC"/>
    <w:rsid w:val="4DF51FD6"/>
    <w:rsid w:val="4DF632A6"/>
    <w:rsid w:val="4E1D7BB7"/>
    <w:rsid w:val="4E325B84"/>
    <w:rsid w:val="4E393586"/>
    <w:rsid w:val="4EC9349B"/>
    <w:rsid w:val="50297881"/>
    <w:rsid w:val="502F628D"/>
    <w:rsid w:val="507B362D"/>
    <w:rsid w:val="508435D5"/>
    <w:rsid w:val="508E6C4C"/>
    <w:rsid w:val="50D95065"/>
    <w:rsid w:val="516A1734"/>
    <w:rsid w:val="51A8470D"/>
    <w:rsid w:val="51DC2B68"/>
    <w:rsid w:val="52042651"/>
    <w:rsid w:val="521A6DB2"/>
    <w:rsid w:val="52446D66"/>
    <w:rsid w:val="52554706"/>
    <w:rsid w:val="52682594"/>
    <w:rsid w:val="527F6F81"/>
    <w:rsid w:val="52F33EF9"/>
    <w:rsid w:val="53060EC8"/>
    <w:rsid w:val="532939AA"/>
    <w:rsid w:val="53600A1B"/>
    <w:rsid w:val="53852C5C"/>
    <w:rsid w:val="53BD2153"/>
    <w:rsid w:val="53C14A27"/>
    <w:rsid w:val="541E1292"/>
    <w:rsid w:val="54576514"/>
    <w:rsid w:val="54815424"/>
    <w:rsid w:val="54863F83"/>
    <w:rsid w:val="549B09D7"/>
    <w:rsid w:val="54AF5214"/>
    <w:rsid w:val="55091F09"/>
    <w:rsid w:val="55EC06B7"/>
    <w:rsid w:val="55EF09CE"/>
    <w:rsid w:val="55F02795"/>
    <w:rsid w:val="56420AD3"/>
    <w:rsid w:val="56554078"/>
    <w:rsid w:val="56730AC2"/>
    <w:rsid w:val="569D05A9"/>
    <w:rsid w:val="56A17E59"/>
    <w:rsid w:val="56B03FB8"/>
    <w:rsid w:val="57041640"/>
    <w:rsid w:val="572552E0"/>
    <w:rsid w:val="574268EB"/>
    <w:rsid w:val="57794C5C"/>
    <w:rsid w:val="57960759"/>
    <w:rsid w:val="57BC21BD"/>
    <w:rsid w:val="57C833A7"/>
    <w:rsid w:val="57CE5618"/>
    <w:rsid w:val="58C812D9"/>
    <w:rsid w:val="58DB3CCA"/>
    <w:rsid w:val="58DE636D"/>
    <w:rsid w:val="58F43A57"/>
    <w:rsid w:val="592544BD"/>
    <w:rsid w:val="592B256F"/>
    <w:rsid w:val="598C648E"/>
    <w:rsid w:val="59961748"/>
    <w:rsid w:val="59CB2B19"/>
    <w:rsid w:val="59EA38AC"/>
    <w:rsid w:val="5A00098D"/>
    <w:rsid w:val="5A020565"/>
    <w:rsid w:val="5ACD1042"/>
    <w:rsid w:val="5B763CDA"/>
    <w:rsid w:val="5B790580"/>
    <w:rsid w:val="5BA30CA2"/>
    <w:rsid w:val="5BA71215"/>
    <w:rsid w:val="5BA9298A"/>
    <w:rsid w:val="5BBA604A"/>
    <w:rsid w:val="5BF55E27"/>
    <w:rsid w:val="5C1822AC"/>
    <w:rsid w:val="5C373572"/>
    <w:rsid w:val="5C384D2B"/>
    <w:rsid w:val="5C895A6B"/>
    <w:rsid w:val="5CAE15E3"/>
    <w:rsid w:val="5CE952C1"/>
    <w:rsid w:val="5D4D5D37"/>
    <w:rsid w:val="5D587681"/>
    <w:rsid w:val="5D917D12"/>
    <w:rsid w:val="5D9B5619"/>
    <w:rsid w:val="5DB95C82"/>
    <w:rsid w:val="5DBC26AE"/>
    <w:rsid w:val="5DC77743"/>
    <w:rsid w:val="5DE03A1E"/>
    <w:rsid w:val="5DEF318A"/>
    <w:rsid w:val="5DFC2281"/>
    <w:rsid w:val="5E372476"/>
    <w:rsid w:val="5E3C1FFD"/>
    <w:rsid w:val="5EA339A1"/>
    <w:rsid w:val="5EF01259"/>
    <w:rsid w:val="5F0A7B74"/>
    <w:rsid w:val="5F0D7191"/>
    <w:rsid w:val="5F0F56B4"/>
    <w:rsid w:val="5F19339F"/>
    <w:rsid w:val="5F1E61FF"/>
    <w:rsid w:val="5F420886"/>
    <w:rsid w:val="5F522271"/>
    <w:rsid w:val="5F5F0857"/>
    <w:rsid w:val="5FA57979"/>
    <w:rsid w:val="5FDD2F80"/>
    <w:rsid w:val="5FE07B69"/>
    <w:rsid w:val="60457501"/>
    <w:rsid w:val="60664C03"/>
    <w:rsid w:val="609713A9"/>
    <w:rsid w:val="60B421AA"/>
    <w:rsid w:val="60ED29AE"/>
    <w:rsid w:val="614F3154"/>
    <w:rsid w:val="61D271F0"/>
    <w:rsid w:val="61F96E5C"/>
    <w:rsid w:val="62411281"/>
    <w:rsid w:val="629D15BD"/>
    <w:rsid w:val="62A52DC4"/>
    <w:rsid w:val="62B91D08"/>
    <w:rsid w:val="63091B6F"/>
    <w:rsid w:val="6342112D"/>
    <w:rsid w:val="63BA6F88"/>
    <w:rsid w:val="63D40C01"/>
    <w:rsid w:val="63ED4920"/>
    <w:rsid w:val="63F50DA6"/>
    <w:rsid w:val="6477675E"/>
    <w:rsid w:val="64792DF5"/>
    <w:rsid w:val="648C5DE1"/>
    <w:rsid w:val="648D48E0"/>
    <w:rsid w:val="64B97EEA"/>
    <w:rsid w:val="64CE3C4D"/>
    <w:rsid w:val="65815AE7"/>
    <w:rsid w:val="65850C58"/>
    <w:rsid w:val="65C36616"/>
    <w:rsid w:val="65CC4FAE"/>
    <w:rsid w:val="66063BF1"/>
    <w:rsid w:val="660E79BA"/>
    <w:rsid w:val="66594486"/>
    <w:rsid w:val="66AB0E18"/>
    <w:rsid w:val="66EA37A5"/>
    <w:rsid w:val="670641F6"/>
    <w:rsid w:val="67963D4A"/>
    <w:rsid w:val="67D10E07"/>
    <w:rsid w:val="67F913F5"/>
    <w:rsid w:val="67FE7CC0"/>
    <w:rsid w:val="680159D6"/>
    <w:rsid w:val="691562DB"/>
    <w:rsid w:val="69210263"/>
    <w:rsid w:val="6923059D"/>
    <w:rsid w:val="693051E3"/>
    <w:rsid w:val="695E4C64"/>
    <w:rsid w:val="696D08FF"/>
    <w:rsid w:val="69A237CC"/>
    <w:rsid w:val="69CD663C"/>
    <w:rsid w:val="69F15D5E"/>
    <w:rsid w:val="69FD16F0"/>
    <w:rsid w:val="6A0816FC"/>
    <w:rsid w:val="6A4E6022"/>
    <w:rsid w:val="6A7714A3"/>
    <w:rsid w:val="6A7850D8"/>
    <w:rsid w:val="6A946AFC"/>
    <w:rsid w:val="6A9E4D29"/>
    <w:rsid w:val="6AF748C3"/>
    <w:rsid w:val="6B0437E6"/>
    <w:rsid w:val="6B351D75"/>
    <w:rsid w:val="6B56727C"/>
    <w:rsid w:val="6B702F3F"/>
    <w:rsid w:val="6BA669D2"/>
    <w:rsid w:val="6BA976D9"/>
    <w:rsid w:val="6C136F42"/>
    <w:rsid w:val="6C2C6080"/>
    <w:rsid w:val="6C5839D9"/>
    <w:rsid w:val="6C5B4576"/>
    <w:rsid w:val="6C8A7EB2"/>
    <w:rsid w:val="6CBE44E5"/>
    <w:rsid w:val="6CC01A98"/>
    <w:rsid w:val="6CC135DA"/>
    <w:rsid w:val="6CE064A1"/>
    <w:rsid w:val="6D4F2176"/>
    <w:rsid w:val="6E6C5923"/>
    <w:rsid w:val="6EC9111C"/>
    <w:rsid w:val="6F143A17"/>
    <w:rsid w:val="6F684C61"/>
    <w:rsid w:val="6F7E78B0"/>
    <w:rsid w:val="6F830842"/>
    <w:rsid w:val="6FEC65A7"/>
    <w:rsid w:val="6FF62AC1"/>
    <w:rsid w:val="70194C50"/>
    <w:rsid w:val="70580E5E"/>
    <w:rsid w:val="7090593D"/>
    <w:rsid w:val="70B54EA1"/>
    <w:rsid w:val="70BC3AEE"/>
    <w:rsid w:val="70C1444F"/>
    <w:rsid w:val="70EC0405"/>
    <w:rsid w:val="70F8368F"/>
    <w:rsid w:val="71050516"/>
    <w:rsid w:val="711E1CA2"/>
    <w:rsid w:val="7198342E"/>
    <w:rsid w:val="719F3D0E"/>
    <w:rsid w:val="71CF75D3"/>
    <w:rsid w:val="720A1301"/>
    <w:rsid w:val="72352D1C"/>
    <w:rsid w:val="723824CE"/>
    <w:rsid w:val="72727A10"/>
    <w:rsid w:val="728F19DE"/>
    <w:rsid w:val="72A72CC6"/>
    <w:rsid w:val="735F6599"/>
    <w:rsid w:val="73815DD5"/>
    <w:rsid w:val="738C4901"/>
    <w:rsid w:val="739A055C"/>
    <w:rsid w:val="73A4070C"/>
    <w:rsid w:val="743011E0"/>
    <w:rsid w:val="74336D6B"/>
    <w:rsid w:val="748A5C1E"/>
    <w:rsid w:val="74B607F9"/>
    <w:rsid w:val="74C264DC"/>
    <w:rsid w:val="74C343DB"/>
    <w:rsid w:val="74CF010A"/>
    <w:rsid w:val="74FC260B"/>
    <w:rsid w:val="757615A3"/>
    <w:rsid w:val="759B1FDF"/>
    <w:rsid w:val="75BB62FA"/>
    <w:rsid w:val="75D07D4E"/>
    <w:rsid w:val="75EC4955"/>
    <w:rsid w:val="75F807B1"/>
    <w:rsid w:val="760F7432"/>
    <w:rsid w:val="7618237F"/>
    <w:rsid w:val="76817273"/>
    <w:rsid w:val="76A20B09"/>
    <w:rsid w:val="76AA4674"/>
    <w:rsid w:val="7704048A"/>
    <w:rsid w:val="779C4F43"/>
    <w:rsid w:val="78123BED"/>
    <w:rsid w:val="782F1F75"/>
    <w:rsid w:val="783720DB"/>
    <w:rsid w:val="785E0306"/>
    <w:rsid w:val="785E5EB3"/>
    <w:rsid w:val="78C76402"/>
    <w:rsid w:val="78C97251"/>
    <w:rsid w:val="78DD1BB3"/>
    <w:rsid w:val="78F606C2"/>
    <w:rsid w:val="790C432A"/>
    <w:rsid w:val="790C612A"/>
    <w:rsid w:val="791F2DA5"/>
    <w:rsid w:val="799C2A97"/>
    <w:rsid w:val="79A8710D"/>
    <w:rsid w:val="7A27520D"/>
    <w:rsid w:val="7A3F102A"/>
    <w:rsid w:val="7A620B09"/>
    <w:rsid w:val="7B1B7F0D"/>
    <w:rsid w:val="7B3B4877"/>
    <w:rsid w:val="7B857311"/>
    <w:rsid w:val="7BD056E6"/>
    <w:rsid w:val="7C9D17AF"/>
    <w:rsid w:val="7C9F2E44"/>
    <w:rsid w:val="7D574968"/>
    <w:rsid w:val="7D8B0D43"/>
    <w:rsid w:val="7DB2003B"/>
    <w:rsid w:val="7DB80389"/>
    <w:rsid w:val="7DB92EC6"/>
    <w:rsid w:val="7DBC172B"/>
    <w:rsid w:val="7DD24FE6"/>
    <w:rsid w:val="7DDB5C3D"/>
    <w:rsid w:val="7E17391D"/>
    <w:rsid w:val="7E2B5ACD"/>
    <w:rsid w:val="7E717630"/>
    <w:rsid w:val="7E9C31C2"/>
    <w:rsid w:val="7EAB3319"/>
    <w:rsid w:val="7F29442C"/>
    <w:rsid w:val="7F8518D8"/>
    <w:rsid w:val="7FE27612"/>
    <w:rsid w:val="7FFD1D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qFormat="1" w:unhideWhenUsed="0" w:uiPriority="99" w:semiHidden="0" w:name="HTML Preformatted"/>
    <w:lsdException w:qFormat="1" w:uiPriority="0" w:name="HTML Sample"/>
    <w:lsdException w:uiPriority="0" w:name="HTML Typewriter"/>
    <w:lsdException w:qFormat="1"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50"/>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13"/>
    <w:qFormat/>
    <w:uiPriority w:val="99"/>
    <w:pPr>
      <w:keepNext/>
      <w:keepLines/>
      <w:spacing w:before="260" w:after="260" w:line="416" w:lineRule="auto"/>
      <w:outlineLvl w:val="2"/>
    </w:pPr>
    <w:rPr>
      <w:b/>
      <w:bCs/>
      <w:sz w:val="32"/>
      <w:szCs w:val="32"/>
    </w:rPr>
  </w:style>
  <w:style w:type="paragraph" w:styleId="5">
    <w:name w:val="heading 4"/>
    <w:basedOn w:val="1"/>
    <w:next w:val="1"/>
    <w:link w:val="112"/>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14"/>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115"/>
    <w:qFormat/>
    <w:uiPriority w:val="0"/>
    <w:pPr>
      <w:keepNext/>
      <w:keepLines/>
      <w:numPr>
        <w:ilvl w:val="5"/>
        <w:numId w:val="2"/>
      </w:numPr>
      <w:spacing w:before="240" w:after="64" w:line="320" w:lineRule="auto"/>
      <w:outlineLvl w:val="5"/>
    </w:pPr>
    <w:rPr>
      <w:rFonts w:ascii="Arial" w:hAnsi="Arial" w:eastAsia="黑体"/>
      <w:b/>
      <w:bCs/>
      <w:sz w:val="24"/>
    </w:rPr>
  </w:style>
  <w:style w:type="paragraph" w:styleId="8">
    <w:name w:val="heading 7"/>
    <w:basedOn w:val="1"/>
    <w:next w:val="1"/>
    <w:link w:val="116"/>
    <w:qFormat/>
    <w:uiPriority w:val="0"/>
    <w:pPr>
      <w:keepNext/>
      <w:keepLines/>
      <w:numPr>
        <w:ilvl w:val="6"/>
        <w:numId w:val="2"/>
      </w:numPr>
      <w:spacing w:before="240" w:after="64" w:line="320" w:lineRule="auto"/>
      <w:outlineLvl w:val="6"/>
    </w:pPr>
    <w:rPr>
      <w:b/>
      <w:bCs/>
      <w:sz w:val="24"/>
    </w:rPr>
  </w:style>
  <w:style w:type="paragraph" w:styleId="9">
    <w:name w:val="heading 8"/>
    <w:basedOn w:val="1"/>
    <w:next w:val="1"/>
    <w:link w:val="117"/>
    <w:qFormat/>
    <w:uiPriority w:val="0"/>
    <w:pPr>
      <w:keepNext/>
      <w:keepLines/>
      <w:numPr>
        <w:ilvl w:val="7"/>
        <w:numId w:val="3"/>
      </w:numPr>
      <w:spacing w:before="240" w:after="64" w:line="320" w:lineRule="auto"/>
      <w:outlineLvl w:val="7"/>
    </w:pPr>
    <w:rPr>
      <w:rFonts w:ascii="Arial" w:hAnsi="Arial" w:eastAsia="黑体"/>
      <w:sz w:val="24"/>
    </w:rPr>
  </w:style>
  <w:style w:type="paragraph" w:styleId="10">
    <w:name w:val="heading 9"/>
    <w:basedOn w:val="1"/>
    <w:next w:val="1"/>
    <w:link w:val="118"/>
    <w:qFormat/>
    <w:uiPriority w:val="0"/>
    <w:pPr>
      <w:keepNext/>
      <w:keepLines/>
      <w:numPr>
        <w:ilvl w:val="8"/>
        <w:numId w:val="4"/>
      </w:numPr>
      <w:spacing w:before="240" w:after="64" w:line="320" w:lineRule="auto"/>
      <w:outlineLvl w:val="8"/>
    </w:pPr>
    <w:rPr>
      <w:rFonts w:ascii="Arial" w:hAnsi="Arial" w:eastAsia="黑体"/>
      <w:szCs w:val="21"/>
    </w:rPr>
  </w:style>
  <w:style w:type="character" w:default="1" w:styleId="43">
    <w:name w:val="Default Paragraph Font"/>
    <w:unhideWhenUsed/>
    <w:qFormat/>
    <w:uiPriority w:val="1"/>
  </w:style>
  <w:style w:type="table" w:default="1" w:styleId="41">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style>
  <w:style w:type="paragraph" w:styleId="12">
    <w:name w:val="Normal Indent"/>
    <w:basedOn w:val="1"/>
    <w:qFormat/>
    <w:uiPriority w:val="0"/>
    <w:pPr>
      <w:ind w:firstLine="420" w:firstLineChars="200"/>
    </w:pPr>
    <w:rPr>
      <w:rFonts w:ascii="宋体" w:hAnsi="宋体"/>
      <w:snapToGrid w:val="0"/>
      <w:szCs w:val="20"/>
    </w:rPr>
  </w:style>
  <w:style w:type="paragraph" w:styleId="13">
    <w:name w:val="Document Map"/>
    <w:basedOn w:val="1"/>
    <w:link w:val="120"/>
    <w:qFormat/>
    <w:uiPriority w:val="99"/>
    <w:pPr>
      <w:shd w:val="clear" w:color="auto" w:fill="000080"/>
    </w:pPr>
    <w:rPr>
      <w:rFonts w:ascii="宋体" w:hAnsi="宋体"/>
      <w:snapToGrid w:val="0"/>
    </w:rPr>
  </w:style>
  <w:style w:type="paragraph" w:styleId="14">
    <w:name w:val="annotation text"/>
    <w:basedOn w:val="1"/>
    <w:link w:val="133"/>
    <w:qFormat/>
    <w:uiPriority w:val="0"/>
    <w:pPr>
      <w:adjustRightInd w:val="0"/>
      <w:spacing w:line="360" w:lineRule="atLeast"/>
      <w:jc w:val="left"/>
      <w:textAlignment w:val="baseline"/>
    </w:pPr>
    <w:rPr>
      <w:kern w:val="0"/>
      <w:sz w:val="24"/>
      <w:szCs w:val="20"/>
    </w:rPr>
  </w:style>
  <w:style w:type="paragraph" w:styleId="15">
    <w:name w:val="Body Text 3"/>
    <w:basedOn w:val="1"/>
    <w:link w:val="122"/>
    <w:qFormat/>
    <w:uiPriority w:val="0"/>
    <w:pPr>
      <w:widowControl/>
      <w:tabs>
        <w:tab w:val="left" w:pos="6979"/>
      </w:tabs>
      <w:spacing w:before="60"/>
      <w:jc w:val="left"/>
    </w:pPr>
    <w:rPr>
      <w:rFonts w:ascii="宋体" w:hAnsi="宋体"/>
      <w:snapToGrid w:val="0"/>
      <w:kern w:val="0"/>
      <w:sz w:val="24"/>
      <w:szCs w:val="20"/>
    </w:rPr>
  </w:style>
  <w:style w:type="paragraph" w:styleId="16">
    <w:name w:val="Body Text"/>
    <w:basedOn w:val="1"/>
    <w:next w:val="1"/>
    <w:link w:val="141"/>
    <w:qFormat/>
    <w:uiPriority w:val="0"/>
    <w:rPr>
      <w:rFonts w:ascii="宋体" w:hAnsi="宋体"/>
      <w:sz w:val="28"/>
    </w:rPr>
  </w:style>
  <w:style w:type="paragraph" w:styleId="17">
    <w:name w:val="Body Text Indent"/>
    <w:basedOn w:val="1"/>
    <w:link w:val="140"/>
    <w:qFormat/>
    <w:uiPriority w:val="0"/>
    <w:pPr>
      <w:spacing w:line="360" w:lineRule="auto"/>
      <w:ind w:firstLine="480" w:firstLineChars="200"/>
    </w:pPr>
    <w:rPr>
      <w:rFonts w:eastAsia="仿宋_GB2312"/>
      <w:sz w:val="24"/>
    </w:rPr>
  </w:style>
  <w:style w:type="paragraph" w:styleId="18">
    <w:name w:val="toc 5"/>
    <w:basedOn w:val="1"/>
    <w:next w:val="1"/>
    <w:qFormat/>
    <w:uiPriority w:val="39"/>
    <w:pPr>
      <w:ind w:left="1680" w:leftChars="800"/>
    </w:pPr>
  </w:style>
  <w:style w:type="paragraph" w:styleId="19">
    <w:name w:val="toc 3"/>
    <w:basedOn w:val="1"/>
    <w:next w:val="1"/>
    <w:qFormat/>
    <w:uiPriority w:val="39"/>
    <w:pPr>
      <w:tabs>
        <w:tab w:val="left" w:pos="142"/>
        <w:tab w:val="left" w:pos="735"/>
        <w:tab w:val="right" w:leader="dot" w:pos="9072"/>
      </w:tabs>
      <w:spacing w:line="360" w:lineRule="auto"/>
      <w:ind w:right="525" w:firstLine="630" w:firstLineChars="300"/>
      <w:jc w:val="left"/>
    </w:pPr>
    <w:rPr>
      <w:rFonts w:ascii="宋体" w:hAnsi="宋体"/>
      <w:szCs w:val="21"/>
    </w:rPr>
  </w:style>
  <w:style w:type="paragraph" w:styleId="20">
    <w:name w:val="Plain Text"/>
    <w:basedOn w:val="1"/>
    <w:link w:val="130"/>
    <w:qFormat/>
    <w:uiPriority w:val="0"/>
    <w:rPr>
      <w:rFonts w:ascii="宋体" w:hAnsi="Courier New"/>
      <w:color w:val="000000"/>
      <w:kern w:val="0"/>
      <w:szCs w:val="21"/>
    </w:rPr>
  </w:style>
  <w:style w:type="paragraph" w:styleId="21">
    <w:name w:val="toc 8"/>
    <w:basedOn w:val="1"/>
    <w:next w:val="1"/>
    <w:qFormat/>
    <w:uiPriority w:val="39"/>
    <w:pPr>
      <w:ind w:left="2940" w:leftChars="1400"/>
    </w:pPr>
  </w:style>
  <w:style w:type="paragraph" w:styleId="22">
    <w:name w:val="Date"/>
    <w:basedOn w:val="1"/>
    <w:next w:val="1"/>
    <w:link w:val="121"/>
    <w:qFormat/>
    <w:uiPriority w:val="0"/>
    <w:pPr>
      <w:ind w:left="100" w:leftChars="2500"/>
    </w:pPr>
    <w:rPr>
      <w:rFonts w:ascii="仿宋_GB2312" w:eastAsia="仿宋_GB2312"/>
      <w:sz w:val="28"/>
    </w:rPr>
  </w:style>
  <w:style w:type="paragraph" w:styleId="23">
    <w:name w:val="Body Text Indent 2"/>
    <w:basedOn w:val="1"/>
    <w:link w:val="152"/>
    <w:qFormat/>
    <w:uiPriority w:val="99"/>
    <w:pPr>
      <w:ind w:firstLine="560" w:firstLineChars="200"/>
    </w:pPr>
    <w:rPr>
      <w:rFonts w:ascii="宋体" w:hAnsi="宋体"/>
      <w:sz w:val="28"/>
    </w:rPr>
  </w:style>
  <w:style w:type="paragraph" w:styleId="24">
    <w:name w:val="endnote text"/>
    <w:basedOn w:val="1"/>
    <w:link w:val="129"/>
    <w:qFormat/>
    <w:uiPriority w:val="0"/>
    <w:pPr>
      <w:jc w:val="left"/>
    </w:pPr>
    <w:rPr>
      <w:rFonts w:ascii="MingLiU" w:hAnsi="宋体" w:eastAsia="MingLiU"/>
      <w:snapToGrid w:val="0"/>
      <w:kern w:val="0"/>
      <w:sz w:val="24"/>
      <w:szCs w:val="20"/>
      <w:lang w:eastAsia="en-US"/>
    </w:rPr>
  </w:style>
  <w:style w:type="paragraph" w:styleId="25">
    <w:name w:val="Balloon Text"/>
    <w:basedOn w:val="1"/>
    <w:link w:val="125"/>
    <w:qFormat/>
    <w:uiPriority w:val="99"/>
    <w:rPr>
      <w:sz w:val="18"/>
      <w:szCs w:val="18"/>
    </w:rPr>
  </w:style>
  <w:style w:type="paragraph" w:styleId="26">
    <w:name w:val="footer"/>
    <w:basedOn w:val="1"/>
    <w:next w:val="11"/>
    <w:link w:val="111"/>
    <w:qFormat/>
    <w:uiPriority w:val="0"/>
    <w:pPr>
      <w:tabs>
        <w:tab w:val="center" w:pos="4153"/>
        <w:tab w:val="right" w:pos="8306"/>
      </w:tabs>
      <w:snapToGrid w:val="0"/>
      <w:jc w:val="left"/>
    </w:pPr>
    <w:rPr>
      <w:sz w:val="18"/>
      <w:szCs w:val="18"/>
    </w:rPr>
  </w:style>
  <w:style w:type="paragraph" w:styleId="27">
    <w:name w:val="header"/>
    <w:basedOn w:val="1"/>
    <w:link w:val="109"/>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9060"/>
      </w:tabs>
      <w:snapToGrid w:val="0"/>
      <w:spacing w:line="360" w:lineRule="auto"/>
      <w:jc w:val="left"/>
    </w:pPr>
    <w:rPr>
      <w:rFonts w:ascii="宋体" w:hAnsi="宋体"/>
      <w:szCs w:val="21"/>
    </w:rPr>
  </w:style>
  <w:style w:type="paragraph" w:styleId="29">
    <w:name w:val="toc 4"/>
    <w:basedOn w:val="1"/>
    <w:next w:val="1"/>
    <w:qFormat/>
    <w:uiPriority w:val="39"/>
    <w:pPr>
      <w:ind w:left="1260" w:leftChars="600"/>
    </w:pPr>
  </w:style>
  <w:style w:type="paragraph" w:styleId="30">
    <w:name w:val="Subtitle"/>
    <w:basedOn w:val="1"/>
    <w:next w:val="1"/>
    <w:link w:val="131"/>
    <w:qFormat/>
    <w:uiPriority w:val="0"/>
    <w:pPr>
      <w:spacing w:before="240" w:after="60" w:line="312" w:lineRule="auto"/>
      <w:jc w:val="center"/>
      <w:outlineLvl w:val="1"/>
    </w:pPr>
    <w:rPr>
      <w:rFonts w:ascii="Cambria" w:hAnsi="Cambria"/>
      <w:b/>
      <w:snapToGrid w:val="0"/>
      <w:kern w:val="28"/>
      <w:sz w:val="32"/>
      <w:szCs w:val="20"/>
      <w:lang w:eastAsia="en-US"/>
    </w:rPr>
  </w:style>
  <w:style w:type="paragraph" w:styleId="31">
    <w:name w:val="toc 6"/>
    <w:basedOn w:val="1"/>
    <w:next w:val="1"/>
    <w:qFormat/>
    <w:uiPriority w:val="39"/>
    <w:pPr>
      <w:ind w:left="2100" w:leftChars="1000"/>
    </w:pPr>
  </w:style>
  <w:style w:type="paragraph" w:styleId="32">
    <w:name w:val="Body Text Indent 3"/>
    <w:basedOn w:val="1"/>
    <w:link w:val="146"/>
    <w:qFormat/>
    <w:uiPriority w:val="0"/>
    <w:pPr>
      <w:spacing w:line="360" w:lineRule="auto"/>
      <w:ind w:firstLine="525" w:firstLineChars="218"/>
    </w:pPr>
    <w:rPr>
      <w:rFonts w:ascii="仿宋_GB2312" w:eastAsia="仿宋_GB2312"/>
      <w:b/>
      <w:bCs/>
      <w:sz w:val="24"/>
    </w:rPr>
  </w:style>
  <w:style w:type="paragraph" w:styleId="33">
    <w:name w:val="toc 2"/>
    <w:basedOn w:val="1"/>
    <w:next w:val="1"/>
    <w:qFormat/>
    <w:uiPriority w:val="39"/>
    <w:pPr>
      <w:tabs>
        <w:tab w:val="right" w:leader="dot" w:pos="9060"/>
      </w:tabs>
      <w:spacing w:line="360" w:lineRule="auto"/>
      <w:ind w:left="210"/>
      <w:jc w:val="left"/>
    </w:pPr>
    <w:rPr>
      <w:smallCaps/>
    </w:rPr>
  </w:style>
  <w:style w:type="paragraph" w:styleId="34">
    <w:name w:val="toc 9"/>
    <w:basedOn w:val="1"/>
    <w:next w:val="1"/>
    <w:qFormat/>
    <w:uiPriority w:val="39"/>
    <w:pPr>
      <w:ind w:left="3360" w:leftChars="1600"/>
    </w:pPr>
  </w:style>
  <w:style w:type="paragraph" w:styleId="35">
    <w:name w:val="HTML Preformatted"/>
    <w:basedOn w:val="1"/>
    <w:link w:val="154"/>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6">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styleId="37">
    <w:name w:val="index 1"/>
    <w:basedOn w:val="1"/>
    <w:next w:val="1"/>
    <w:qFormat/>
    <w:uiPriority w:val="0"/>
    <w:pPr>
      <w:adjustRightInd w:val="0"/>
      <w:jc w:val="left"/>
      <w:textAlignment w:val="baseline"/>
    </w:pPr>
    <w:rPr>
      <w:rFonts w:ascii="MingLiU" w:eastAsia="MingLiU"/>
      <w:kern w:val="0"/>
      <w:sz w:val="24"/>
      <w:szCs w:val="20"/>
      <w:lang w:eastAsia="zh-TW"/>
    </w:rPr>
  </w:style>
  <w:style w:type="paragraph" w:styleId="38">
    <w:name w:val="Title"/>
    <w:basedOn w:val="1"/>
    <w:next w:val="1"/>
    <w:link w:val="144"/>
    <w:qFormat/>
    <w:uiPriority w:val="10"/>
    <w:pPr>
      <w:spacing w:before="240" w:after="60"/>
      <w:jc w:val="center"/>
      <w:outlineLvl w:val="0"/>
    </w:pPr>
    <w:rPr>
      <w:rFonts w:ascii="Cambria" w:hAnsi="Cambria"/>
      <w:b/>
      <w:bCs/>
      <w:sz w:val="32"/>
      <w:szCs w:val="32"/>
    </w:rPr>
  </w:style>
  <w:style w:type="paragraph" w:styleId="39">
    <w:name w:val="annotation subject"/>
    <w:basedOn w:val="14"/>
    <w:next w:val="14"/>
    <w:link w:val="134"/>
    <w:qFormat/>
    <w:uiPriority w:val="0"/>
    <w:pPr>
      <w:adjustRightInd/>
      <w:spacing w:line="240" w:lineRule="auto"/>
      <w:textAlignment w:val="auto"/>
    </w:pPr>
    <w:rPr>
      <w:rFonts w:hAnsi="宋体"/>
      <w:b/>
      <w:bCs/>
      <w:snapToGrid w:val="0"/>
      <w:kern w:val="2"/>
      <w:sz w:val="21"/>
      <w:szCs w:val="24"/>
    </w:rPr>
  </w:style>
  <w:style w:type="paragraph" w:styleId="40">
    <w:name w:val="Body Text First Indent 2"/>
    <w:basedOn w:val="17"/>
    <w:link w:val="156"/>
    <w:qFormat/>
    <w:uiPriority w:val="0"/>
    <w:pPr>
      <w:spacing w:after="120" w:line="240" w:lineRule="auto"/>
      <w:ind w:left="420" w:leftChars="200" w:firstLine="420"/>
    </w:pPr>
    <w:rPr>
      <w:rFonts w:eastAsia="宋体"/>
      <w:sz w:val="21"/>
      <w:szCs w:val="20"/>
    </w:rPr>
  </w:style>
  <w:style w:type="table" w:styleId="42">
    <w:name w:val="Table Grid"/>
    <w:basedOn w:val="41"/>
    <w:qFormat/>
    <w:uiPriority w:val="0"/>
    <w:pPr>
      <w:widowControl w:val="0"/>
      <w:autoSpaceDE w:val="0"/>
      <w:autoSpaceDN w:val="0"/>
      <w:adjustRightInd w:val="0"/>
      <w:spacing w:before="100" w:after="1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qFormat/>
    <w:uiPriority w:val="99"/>
    <w:rPr>
      <w:color w:val="800080"/>
      <w:u w:val="single"/>
    </w:rPr>
  </w:style>
  <w:style w:type="character" w:styleId="47">
    <w:name w:val="Emphasis"/>
    <w:basedOn w:val="43"/>
    <w:qFormat/>
    <w:uiPriority w:val="0"/>
  </w:style>
  <w:style w:type="character" w:styleId="48">
    <w:name w:val="HTML Definition"/>
    <w:basedOn w:val="43"/>
    <w:semiHidden/>
    <w:unhideWhenUsed/>
    <w:qFormat/>
    <w:uiPriority w:val="0"/>
  </w:style>
  <w:style w:type="character" w:styleId="49">
    <w:name w:val="HTML Variable"/>
    <w:basedOn w:val="43"/>
    <w:semiHidden/>
    <w:unhideWhenUsed/>
    <w:qFormat/>
    <w:uiPriority w:val="0"/>
  </w:style>
  <w:style w:type="character" w:styleId="50">
    <w:name w:val="Hyperlink"/>
    <w:qFormat/>
    <w:uiPriority w:val="99"/>
    <w:rPr>
      <w:color w:val="0000FF"/>
      <w:u w:val="single"/>
    </w:rPr>
  </w:style>
  <w:style w:type="character" w:styleId="51">
    <w:name w:val="HTML Code"/>
    <w:basedOn w:val="43"/>
    <w:semiHidden/>
    <w:unhideWhenUsed/>
    <w:qFormat/>
    <w:uiPriority w:val="0"/>
    <w:rPr>
      <w:rFonts w:hint="eastAsia" w:ascii="PingFang SC" w:hAnsi="PingFang SC" w:eastAsia="PingFang SC" w:cs="PingFang SC"/>
      <w:sz w:val="20"/>
    </w:rPr>
  </w:style>
  <w:style w:type="character" w:styleId="52">
    <w:name w:val="annotation reference"/>
    <w:qFormat/>
    <w:uiPriority w:val="0"/>
    <w:rPr>
      <w:sz w:val="21"/>
      <w:szCs w:val="21"/>
    </w:rPr>
  </w:style>
  <w:style w:type="character" w:styleId="53">
    <w:name w:val="HTML Cite"/>
    <w:basedOn w:val="43"/>
    <w:semiHidden/>
    <w:unhideWhenUsed/>
    <w:qFormat/>
    <w:uiPriority w:val="0"/>
  </w:style>
  <w:style w:type="character" w:styleId="54">
    <w:name w:val="HTML Keyboard"/>
    <w:basedOn w:val="43"/>
    <w:semiHidden/>
    <w:unhideWhenUsed/>
    <w:qFormat/>
    <w:uiPriority w:val="0"/>
    <w:rPr>
      <w:rFonts w:hint="default" w:ascii="PingFang SC" w:hAnsi="PingFang SC" w:eastAsia="PingFang SC" w:cs="PingFang SC"/>
      <w:sz w:val="20"/>
    </w:rPr>
  </w:style>
  <w:style w:type="character" w:styleId="55">
    <w:name w:val="HTML Sample"/>
    <w:basedOn w:val="43"/>
    <w:semiHidden/>
    <w:unhideWhenUsed/>
    <w:qFormat/>
    <w:uiPriority w:val="0"/>
    <w:rPr>
      <w:rFonts w:hint="default" w:ascii="PingFang SC" w:hAnsi="PingFang SC" w:eastAsia="PingFang SC" w:cs="PingFang SC"/>
    </w:rPr>
  </w:style>
  <w:style w:type="paragraph" w:customStyle="1" w:styleId="56">
    <w:name w:val="页眉1"/>
    <w:basedOn w:val="27"/>
    <w:next w:val="27"/>
    <w:qFormat/>
    <w:uiPriority w:val="0"/>
    <w:pPr>
      <w:pBdr>
        <w:bottom w:val="none" w:color="auto" w:sz="0" w:space="0"/>
      </w:pBdr>
      <w:jc w:val="both"/>
    </w:pPr>
    <w:rPr>
      <w:rFonts w:ascii="仿宋_GB2312" w:eastAsia="仿宋_GB2312"/>
    </w:rPr>
  </w:style>
  <w:style w:type="paragraph" w:customStyle="1" w:styleId="57">
    <w:name w:val="附件标题-1"/>
    <w:basedOn w:val="1"/>
    <w:qFormat/>
    <w:uiPriority w:val="99"/>
    <w:pPr>
      <w:spacing w:beforeLines="50" w:afterLines="50"/>
      <w:jc w:val="center"/>
    </w:pPr>
    <w:rPr>
      <w:rFonts w:eastAsia="黑体"/>
      <w:sz w:val="32"/>
    </w:rPr>
  </w:style>
  <w:style w:type="paragraph" w:customStyle="1" w:styleId="58">
    <w:name w:val="Blockquote"/>
    <w:basedOn w:val="1"/>
    <w:qFormat/>
    <w:uiPriority w:val="0"/>
    <w:pPr>
      <w:autoSpaceDE w:val="0"/>
      <w:autoSpaceDN w:val="0"/>
      <w:adjustRightInd w:val="0"/>
      <w:spacing w:before="100" w:after="100"/>
      <w:ind w:left="360" w:right="360"/>
      <w:jc w:val="left"/>
    </w:pPr>
    <w:rPr>
      <w:kern w:val="0"/>
      <w:sz w:val="24"/>
      <w:szCs w:val="20"/>
    </w:rPr>
  </w:style>
  <w:style w:type="character" w:customStyle="1" w:styleId="59">
    <w:name w:val="b2"/>
    <w:qFormat/>
    <w:uiPriority w:val="0"/>
    <w:rPr>
      <w:b/>
      <w:bCs/>
      <w:color w:val="B23C6D"/>
      <w:sz w:val="21"/>
      <w:szCs w:val="21"/>
    </w:rPr>
  </w:style>
  <w:style w:type="paragraph" w:customStyle="1" w:styleId="60">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1">
    <w:name w:val="font6"/>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62">
    <w:name w:val="font7"/>
    <w:basedOn w:val="1"/>
    <w:qFormat/>
    <w:uiPriority w:val="0"/>
    <w:pPr>
      <w:widowControl/>
      <w:spacing w:before="100" w:beforeAutospacing="1" w:after="100" w:afterAutospacing="1"/>
      <w:jc w:val="left"/>
    </w:pPr>
    <w:rPr>
      <w:rFonts w:hint="eastAsia" w:ascii="宋体" w:hAnsi="宋体"/>
      <w:b/>
      <w:bCs/>
      <w:kern w:val="0"/>
      <w:sz w:val="22"/>
      <w:szCs w:val="22"/>
    </w:rPr>
  </w:style>
  <w:style w:type="paragraph" w:customStyle="1" w:styleId="63">
    <w:name w:val="font8"/>
    <w:basedOn w:val="1"/>
    <w:qFormat/>
    <w:uiPriority w:val="0"/>
    <w:pPr>
      <w:widowControl/>
      <w:spacing w:before="100" w:beforeAutospacing="1" w:after="100" w:afterAutospacing="1"/>
      <w:jc w:val="left"/>
    </w:pPr>
    <w:rPr>
      <w:rFonts w:hint="eastAsia" w:ascii="宋体" w:hAnsi="宋体"/>
      <w:b/>
      <w:bCs/>
      <w:kern w:val="0"/>
      <w:sz w:val="24"/>
    </w:rPr>
  </w:style>
  <w:style w:type="paragraph" w:customStyle="1" w:styleId="64">
    <w:name w:val="font9"/>
    <w:basedOn w:val="1"/>
    <w:qFormat/>
    <w:uiPriority w:val="0"/>
    <w:pPr>
      <w:widowControl/>
      <w:spacing w:before="100" w:beforeAutospacing="1" w:after="100" w:afterAutospacing="1"/>
      <w:jc w:val="left"/>
    </w:pPr>
    <w:rPr>
      <w:rFonts w:hint="eastAsia" w:ascii="宋体" w:hAnsi="宋体"/>
      <w:b/>
      <w:bCs/>
      <w:kern w:val="0"/>
      <w:sz w:val="20"/>
      <w:szCs w:val="20"/>
    </w:rPr>
  </w:style>
  <w:style w:type="paragraph" w:customStyle="1" w:styleId="65">
    <w:name w:val="font10"/>
    <w:basedOn w:val="1"/>
    <w:qFormat/>
    <w:uiPriority w:val="0"/>
    <w:pPr>
      <w:widowControl/>
      <w:spacing w:before="100" w:beforeAutospacing="1" w:after="100" w:afterAutospacing="1"/>
      <w:jc w:val="left"/>
    </w:pPr>
    <w:rPr>
      <w:b/>
      <w:bCs/>
      <w:kern w:val="0"/>
      <w:sz w:val="22"/>
      <w:szCs w:val="22"/>
    </w:rPr>
  </w:style>
  <w:style w:type="paragraph" w:customStyle="1" w:styleId="6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67">
    <w:name w:val="xl2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68">
    <w:name w:val="xl26"/>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b/>
      <w:bCs/>
      <w:kern w:val="0"/>
      <w:sz w:val="22"/>
      <w:szCs w:val="22"/>
    </w:rPr>
  </w:style>
  <w:style w:type="paragraph" w:customStyle="1" w:styleId="6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b/>
      <w:bCs/>
      <w:kern w:val="0"/>
      <w:sz w:val="22"/>
      <w:szCs w:val="22"/>
    </w:rPr>
  </w:style>
  <w:style w:type="paragraph" w:customStyle="1" w:styleId="7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0"/>
      <w:szCs w:val="20"/>
    </w:rPr>
  </w:style>
  <w:style w:type="paragraph" w:customStyle="1" w:styleId="71">
    <w:name w:val="xl2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b/>
      <w:bCs/>
      <w:kern w:val="0"/>
      <w:sz w:val="22"/>
      <w:szCs w:val="22"/>
    </w:rPr>
  </w:style>
  <w:style w:type="paragraph" w:customStyle="1" w:styleId="7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0"/>
      <w:szCs w:val="20"/>
    </w:rPr>
  </w:style>
  <w:style w:type="paragraph" w:customStyle="1" w:styleId="73">
    <w:name w:val="xl3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宋体" w:hAnsi="宋体"/>
      <w:b/>
      <w:bCs/>
      <w:kern w:val="0"/>
      <w:sz w:val="20"/>
      <w:szCs w:val="20"/>
    </w:rPr>
  </w:style>
  <w:style w:type="paragraph" w:customStyle="1" w:styleId="74">
    <w:name w:val="xl3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b/>
      <w:bCs/>
      <w:kern w:val="0"/>
      <w:sz w:val="22"/>
      <w:szCs w:val="22"/>
    </w:rPr>
  </w:style>
  <w:style w:type="paragraph" w:customStyle="1" w:styleId="75">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b/>
      <w:bCs/>
      <w:kern w:val="0"/>
      <w:sz w:val="22"/>
      <w:szCs w:val="22"/>
    </w:rPr>
  </w:style>
  <w:style w:type="paragraph" w:customStyle="1" w:styleId="7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77">
    <w:name w:val="xl35"/>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b/>
      <w:bCs/>
      <w:kern w:val="0"/>
      <w:sz w:val="22"/>
      <w:szCs w:val="22"/>
    </w:rPr>
  </w:style>
  <w:style w:type="paragraph" w:customStyle="1" w:styleId="78">
    <w:name w:val="xl3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b/>
      <w:bCs/>
      <w:kern w:val="0"/>
      <w:sz w:val="22"/>
      <w:szCs w:val="22"/>
    </w:rPr>
  </w:style>
  <w:style w:type="paragraph" w:customStyle="1" w:styleId="79">
    <w:name w:val="xl3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b/>
      <w:bCs/>
      <w:kern w:val="0"/>
      <w:sz w:val="20"/>
      <w:szCs w:val="20"/>
    </w:rPr>
  </w:style>
  <w:style w:type="paragraph" w:customStyle="1" w:styleId="80">
    <w:name w:val="xl3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2"/>
      <w:szCs w:val="22"/>
    </w:rPr>
  </w:style>
  <w:style w:type="paragraph" w:customStyle="1" w:styleId="81">
    <w:name w:val="xl3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4"/>
    </w:rPr>
  </w:style>
  <w:style w:type="paragraph" w:customStyle="1" w:styleId="82">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kern w:val="0"/>
      <w:sz w:val="20"/>
      <w:szCs w:val="20"/>
    </w:rPr>
  </w:style>
  <w:style w:type="paragraph" w:customStyle="1" w:styleId="83">
    <w:name w:val="xl41"/>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b/>
      <w:bCs/>
      <w:kern w:val="0"/>
      <w:sz w:val="22"/>
      <w:szCs w:val="22"/>
    </w:rPr>
  </w:style>
  <w:style w:type="paragraph" w:customStyle="1" w:styleId="84">
    <w:name w:val="xl4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 w:val="20"/>
      <w:szCs w:val="20"/>
    </w:rPr>
  </w:style>
  <w:style w:type="paragraph" w:customStyle="1" w:styleId="85">
    <w:name w:val="xl4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b/>
      <w:bCs/>
      <w:kern w:val="0"/>
      <w:sz w:val="24"/>
    </w:rPr>
  </w:style>
  <w:style w:type="paragraph" w:customStyle="1" w:styleId="86">
    <w:name w:val="xl44"/>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b/>
      <w:bCs/>
      <w:kern w:val="0"/>
      <w:sz w:val="24"/>
    </w:rPr>
  </w:style>
  <w:style w:type="paragraph" w:customStyle="1" w:styleId="87">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b/>
      <w:bCs/>
      <w:kern w:val="0"/>
      <w:sz w:val="20"/>
      <w:szCs w:val="20"/>
    </w:rPr>
  </w:style>
  <w:style w:type="paragraph" w:customStyle="1" w:styleId="88">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b/>
      <w:bCs/>
      <w:kern w:val="0"/>
      <w:sz w:val="20"/>
      <w:szCs w:val="20"/>
    </w:rPr>
  </w:style>
  <w:style w:type="paragraph" w:customStyle="1" w:styleId="89">
    <w:name w:val="xl4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b/>
      <w:bCs/>
      <w:kern w:val="0"/>
      <w:sz w:val="20"/>
      <w:szCs w:val="20"/>
    </w:rPr>
  </w:style>
  <w:style w:type="paragraph" w:customStyle="1" w:styleId="90">
    <w:name w:val="xl48"/>
    <w:basedOn w:val="1"/>
    <w:qFormat/>
    <w:uiPriority w:val="0"/>
    <w:pPr>
      <w:widowControl/>
      <w:pBdr>
        <w:top w:val="single" w:color="auto" w:sz="8" w:space="0"/>
        <w:left w:val="single" w:color="auto" w:sz="4" w:space="0"/>
        <w:bottom w:val="single" w:color="auto" w:sz="4" w:space="0"/>
      </w:pBdr>
      <w:spacing w:before="100" w:beforeAutospacing="1" w:after="100" w:afterAutospacing="1"/>
      <w:jc w:val="center"/>
    </w:pPr>
    <w:rPr>
      <w:rFonts w:ascii="宋体" w:hAnsi="宋体"/>
      <w:b/>
      <w:bCs/>
      <w:kern w:val="0"/>
      <w:sz w:val="24"/>
    </w:rPr>
  </w:style>
  <w:style w:type="paragraph" w:customStyle="1" w:styleId="91">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kern w:val="0"/>
      <w:sz w:val="20"/>
      <w:szCs w:val="20"/>
    </w:rPr>
  </w:style>
  <w:style w:type="paragraph" w:customStyle="1" w:styleId="9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b/>
      <w:bCs/>
      <w:kern w:val="0"/>
      <w:sz w:val="20"/>
      <w:szCs w:val="20"/>
    </w:rPr>
  </w:style>
  <w:style w:type="paragraph" w:customStyle="1" w:styleId="9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kern w:val="0"/>
      <w:sz w:val="20"/>
      <w:szCs w:val="20"/>
    </w:rPr>
  </w:style>
  <w:style w:type="paragraph" w:customStyle="1" w:styleId="94">
    <w:name w:val="xl52"/>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kern w:val="0"/>
      <w:sz w:val="20"/>
      <w:szCs w:val="20"/>
    </w:rPr>
  </w:style>
  <w:style w:type="paragraph" w:customStyle="1" w:styleId="95">
    <w:name w:val="xl5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宋体" w:hAnsi="宋体"/>
      <w:b/>
      <w:bCs/>
      <w:kern w:val="0"/>
      <w:sz w:val="20"/>
      <w:szCs w:val="20"/>
    </w:rPr>
  </w:style>
  <w:style w:type="paragraph" w:customStyle="1" w:styleId="96">
    <w:name w:val="xl54"/>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kern w:val="0"/>
      <w:sz w:val="20"/>
      <w:szCs w:val="20"/>
    </w:rPr>
  </w:style>
  <w:style w:type="paragraph" w:customStyle="1" w:styleId="97">
    <w:name w:val="xl5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textAlignment w:val="top"/>
    </w:pPr>
    <w:rPr>
      <w:rFonts w:ascii="宋体" w:hAnsi="宋体"/>
      <w:kern w:val="0"/>
      <w:sz w:val="20"/>
      <w:szCs w:val="20"/>
    </w:rPr>
  </w:style>
  <w:style w:type="paragraph" w:customStyle="1" w:styleId="98">
    <w:name w:val="xl56"/>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b/>
      <w:bCs/>
      <w:kern w:val="0"/>
      <w:sz w:val="20"/>
      <w:szCs w:val="20"/>
    </w:rPr>
  </w:style>
  <w:style w:type="paragraph" w:customStyle="1" w:styleId="99">
    <w:name w:val="xl5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pPr>
    <w:rPr>
      <w:rFonts w:ascii="宋体" w:hAnsi="宋体"/>
      <w:b/>
      <w:bCs/>
      <w:kern w:val="0"/>
      <w:sz w:val="20"/>
      <w:szCs w:val="20"/>
    </w:rPr>
  </w:style>
  <w:style w:type="paragraph" w:customStyle="1" w:styleId="100">
    <w:name w:val="xl58"/>
    <w:basedOn w:val="1"/>
    <w:qFormat/>
    <w:uiPriority w:val="0"/>
    <w:pPr>
      <w:widowControl/>
      <w:pBdr>
        <w:top w:val="single" w:color="auto" w:sz="4" w:space="0"/>
        <w:left w:val="single" w:color="auto" w:sz="4" w:space="0"/>
        <w:bottom w:val="single" w:color="auto" w:sz="8" w:space="0"/>
      </w:pBdr>
      <w:spacing w:before="100" w:beforeAutospacing="1" w:after="100" w:afterAutospacing="1"/>
      <w:jc w:val="right"/>
    </w:pPr>
    <w:rPr>
      <w:rFonts w:ascii="宋体" w:hAnsi="宋体"/>
      <w:b/>
      <w:bCs/>
      <w:kern w:val="0"/>
      <w:sz w:val="20"/>
      <w:szCs w:val="20"/>
    </w:rPr>
  </w:style>
  <w:style w:type="paragraph" w:customStyle="1" w:styleId="101">
    <w:name w:val="xl59"/>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宋体" w:hAnsi="宋体"/>
      <w:kern w:val="0"/>
      <w:sz w:val="20"/>
      <w:szCs w:val="20"/>
    </w:rPr>
  </w:style>
  <w:style w:type="paragraph" w:customStyle="1" w:styleId="102">
    <w:name w:val="xl60"/>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pPr>
    <w:rPr>
      <w:rFonts w:ascii="宋体" w:hAnsi="宋体"/>
      <w:kern w:val="0"/>
      <w:sz w:val="20"/>
      <w:szCs w:val="20"/>
    </w:rPr>
  </w:style>
  <w:style w:type="paragraph" w:customStyle="1" w:styleId="103">
    <w:name w:val="xl61"/>
    <w:basedOn w:val="1"/>
    <w:qFormat/>
    <w:uiPriority w:val="0"/>
    <w:pPr>
      <w:widowControl/>
      <w:spacing w:before="100" w:beforeAutospacing="1" w:after="100" w:afterAutospacing="1"/>
      <w:jc w:val="center"/>
    </w:pPr>
    <w:rPr>
      <w:rFonts w:hint="eastAsia" w:ascii="黑体" w:hAnsi="宋体" w:eastAsia="黑体"/>
      <w:b/>
      <w:bCs/>
      <w:kern w:val="0"/>
      <w:sz w:val="44"/>
      <w:szCs w:val="44"/>
    </w:rPr>
  </w:style>
  <w:style w:type="paragraph" w:customStyle="1" w:styleId="104">
    <w:name w:val="xl62"/>
    <w:basedOn w:val="1"/>
    <w:qFormat/>
    <w:uiPriority w:val="0"/>
    <w:pPr>
      <w:widowControl/>
      <w:pBdr>
        <w:bottom w:val="single" w:color="auto" w:sz="8" w:space="0"/>
      </w:pBdr>
      <w:spacing w:before="100" w:beforeAutospacing="1" w:after="100" w:afterAutospacing="1"/>
      <w:jc w:val="left"/>
    </w:pPr>
    <w:rPr>
      <w:rFonts w:ascii="宋体" w:hAnsi="宋体"/>
      <w:kern w:val="0"/>
      <w:sz w:val="20"/>
      <w:szCs w:val="20"/>
    </w:rPr>
  </w:style>
  <w:style w:type="paragraph" w:customStyle="1" w:styleId="105">
    <w:name w:val="xl63"/>
    <w:basedOn w:val="1"/>
    <w:qFormat/>
    <w:uiPriority w:val="0"/>
    <w:pPr>
      <w:widowControl/>
      <w:spacing w:before="100" w:beforeAutospacing="1" w:after="100" w:afterAutospacing="1"/>
      <w:jc w:val="center"/>
    </w:pPr>
    <w:rPr>
      <w:rFonts w:hint="eastAsia" w:ascii="黑体" w:hAnsi="宋体" w:eastAsia="黑体"/>
      <w:b/>
      <w:bCs/>
      <w:kern w:val="0"/>
      <w:sz w:val="44"/>
      <w:szCs w:val="44"/>
    </w:rPr>
  </w:style>
  <w:style w:type="paragraph" w:customStyle="1" w:styleId="106">
    <w:name w:val="xl64"/>
    <w:basedOn w:val="1"/>
    <w:qFormat/>
    <w:uiPriority w:val="0"/>
    <w:pPr>
      <w:widowControl/>
      <w:pBdr>
        <w:bottom w:val="single" w:color="auto" w:sz="8" w:space="0"/>
      </w:pBdr>
      <w:spacing w:before="100" w:beforeAutospacing="1" w:after="100" w:afterAutospacing="1"/>
      <w:jc w:val="left"/>
    </w:pPr>
    <w:rPr>
      <w:rFonts w:ascii="宋体" w:hAnsi="宋体"/>
      <w:kern w:val="0"/>
      <w:sz w:val="20"/>
      <w:szCs w:val="20"/>
    </w:rPr>
  </w:style>
  <w:style w:type="paragraph" w:customStyle="1" w:styleId="107">
    <w:name w:val="xl65"/>
    <w:basedOn w:val="1"/>
    <w:qFormat/>
    <w:uiPriority w:val="0"/>
    <w:pPr>
      <w:widowControl/>
      <w:spacing w:before="100" w:beforeAutospacing="1" w:after="100" w:afterAutospacing="1"/>
      <w:jc w:val="center"/>
    </w:pPr>
    <w:rPr>
      <w:rFonts w:hint="eastAsia" w:ascii="黑体" w:hAnsi="宋体" w:eastAsia="黑体"/>
      <w:b/>
      <w:bCs/>
      <w:kern w:val="0"/>
      <w:sz w:val="36"/>
      <w:szCs w:val="36"/>
    </w:rPr>
  </w:style>
  <w:style w:type="character" w:customStyle="1" w:styleId="108">
    <w:name w:val="标题 1 Char"/>
    <w:link w:val="2"/>
    <w:qFormat/>
    <w:locked/>
    <w:uiPriority w:val="99"/>
    <w:rPr>
      <w:rFonts w:eastAsia="宋体"/>
      <w:b/>
      <w:bCs/>
      <w:kern w:val="44"/>
      <w:sz w:val="44"/>
      <w:szCs w:val="44"/>
      <w:lang w:val="en-US" w:eastAsia="zh-CN" w:bidi="ar-SA"/>
    </w:rPr>
  </w:style>
  <w:style w:type="character" w:customStyle="1" w:styleId="109">
    <w:name w:val="页眉 Char"/>
    <w:link w:val="27"/>
    <w:qFormat/>
    <w:locked/>
    <w:uiPriority w:val="99"/>
    <w:rPr>
      <w:rFonts w:eastAsia="宋体"/>
      <w:kern w:val="2"/>
      <w:sz w:val="18"/>
      <w:szCs w:val="18"/>
      <w:lang w:val="en-US" w:eastAsia="zh-CN" w:bidi="ar-SA"/>
    </w:rPr>
  </w:style>
  <w:style w:type="character" w:customStyle="1" w:styleId="110">
    <w:name w:val="style13-11"/>
    <w:qFormat/>
    <w:uiPriority w:val="0"/>
    <w:rPr>
      <w:b/>
      <w:bCs/>
      <w:color w:val="043A94"/>
      <w:sz w:val="23"/>
      <w:szCs w:val="23"/>
    </w:rPr>
  </w:style>
  <w:style w:type="character" w:customStyle="1" w:styleId="111">
    <w:name w:val="页脚 Char"/>
    <w:link w:val="26"/>
    <w:qFormat/>
    <w:locked/>
    <w:uiPriority w:val="99"/>
    <w:rPr>
      <w:kern w:val="2"/>
      <w:sz w:val="18"/>
      <w:szCs w:val="18"/>
    </w:rPr>
  </w:style>
  <w:style w:type="character" w:customStyle="1" w:styleId="112">
    <w:name w:val="标题 4 Char"/>
    <w:link w:val="5"/>
    <w:qFormat/>
    <w:uiPriority w:val="9"/>
    <w:rPr>
      <w:rFonts w:ascii="Arial" w:hAnsi="Arial" w:eastAsia="黑体"/>
      <w:b/>
      <w:bCs/>
      <w:kern w:val="2"/>
      <w:sz w:val="28"/>
      <w:szCs w:val="28"/>
    </w:rPr>
  </w:style>
  <w:style w:type="character" w:customStyle="1" w:styleId="113">
    <w:name w:val="标题 3 Char"/>
    <w:link w:val="4"/>
    <w:qFormat/>
    <w:uiPriority w:val="99"/>
    <w:rPr>
      <w:b/>
      <w:bCs/>
      <w:kern w:val="2"/>
      <w:sz w:val="32"/>
      <w:szCs w:val="32"/>
    </w:rPr>
  </w:style>
  <w:style w:type="character" w:customStyle="1" w:styleId="114">
    <w:name w:val="标题 5 Char"/>
    <w:link w:val="6"/>
    <w:qFormat/>
    <w:uiPriority w:val="0"/>
    <w:rPr>
      <w:b/>
      <w:bCs/>
      <w:kern w:val="2"/>
      <w:sz w:val="28"/>
      <w:szCs w:val="28"/>
    </w:rPr>
  </w:style>
  <w:style w:type="character" w:customStyle="1" w:styleId="115">
    <w:name w:val="标题 6 Char"/>
    <w:link w:val="7"/>
    <w:qFormat/>
    <w:uiPriority w:val="0"/>
    <w:rPr>
      <w:rFonts w:ascii="Arial" w:hAnsi="Arial" w:eastAsia="黑体"/>
      <w:b/>
      <w:bCs/>
      <w:kern w:val="2"/>
      <w:sz w:val="24"/>
      <w:szCs w:val="24"/>
    </w:rPr>
  </w:style>
  <w:style w:type="character" w:customStyle="1" w:styleId="116">
    <w:name w:val="标题 7 Char"/>
    <w:link w:val="8"/>
    <w:qFormat/>
    <w:uiPriority w:val="0"/>
    <w:rPr>
      <w:b/>
      <w:bCs/>
      <w:kern w:val="2"/>
      <w:sz w:val="24"/>
      <w:szCs w:val="24"/>
    </w:rPr>
  </w:style>
  <w:style w:type="character" w:customStyle="1" w:styleId="117">
    <w:name w:val="标题 8 Char"/>
    <w:link w:val="9"/>
    <w:qFormat/>
    <w:uiPriority w:val="0"/>
    <w:rPr>
      <w:rFonts w:ascii="Arial" w:hAnsi="Arial" w:eastAsia="黑体"/>
      <w:kern w:val="2"/>
      <w:sz w:val="24"/>
      <w:szCs w:val="24"/>
    </w:rPr>
  </w:style>
  <w:style w:type="character" w:customStyle="1" w:styleId="118">
    <w:name w:val="标题 9 Char"/>
    <w:link w:val="10"/>
    <w:qFormat/>
    <w:uiPriority w:val="0"/>
    <w:rPr>
      <w:rFonts w:ascii="Arial" w:hAnsi="Arial" w:eastAsia="黑体"/>
      <w:kern w:val="2"/>
      <w:sz w:val="21"/>
      <w:szCs w:val="21"/>
    </w:rPr>
  </w:style>
  <w:style w:type="paragraph" w:customStyle="1" w:styleId="119">
    <w:name w:val="1"/>
    <w:basedOn w:val="13"/>
    <w:qFormat/>
    <w:uiPriority w:val="0"/>
    <w:pPr>
      <w:adjustRightInd w:val="0"/>
      <w:spacing w:line="436" w:lineRule="exact"/>
      <w:ind w:left="357"/>
      <w:jc w:val="left"/>
      <w:outlineLvl w:val="3"/>
    </w:pPr>
    <w:rPr>
      <w:rFonts w:ascii="MingLiU" w:eastAsia="MingLiU"/>
      <w:kern w:val="0"/>
      <w:sz w:val="24"/>
      <w:szCs w:val="20"/>
      <w:lang w:eastAsia="en-US"/>
    </w:rPr>
  </w:style>
  <w:style w:type="character" w:customStyle="1" w:styleId="120">
    <w:name w:val="文档结构图 Char"/>
    <w:link w:val="13"/>
    <w:qFormat/>
    <w:uiPriority w:val="99"/>
    <w:rPr>
      <w:rFonts w:ascii="宋体" w:hAnsi="宋体"/>
      <w:snapToGrid/>
      <w:kern w:val="2"/>
      <w:sz w:val="21"/>
      <w:szCs w:val="24"/>
      <w:shd w:val="clear" w:color="auto" w:fill="000080"/>
    </w:rPr>
  </w:style>
  <w:style w:type="character" w:customStyle="1" w:styleId="121">
    <w:name w:val="日期 Char"/>
    <w:link w:val="22"/>
    <w:qFormat/>
    <w:uiPriority w:val="0"/>
    <w:rPr>
      <w:rFonts w:ascii="仿宋_GB2312" w:eastAsia="仿宋_GB2312"/>
      <w:kern w:val="2"/>
      <w:sz w:val="28"/>
      <w:szCs w:val="24"/>
    </w:rPr>
  </w:style>
  <w:style w:type="character" w:customStyle="1" w:styleId="122">
    <w:name w:val="正文文本 3 Char"/>
    <w:link w:val="15"/>
    <w:qFormat/>
    <w:uiPriority w:val="0"/>
    <w:rPr>
      <w:rFonts w:ascii="宋体" w:hAnsi="宋体"/>
      <w:snapToGrid/>
      <w:sz w:val="24"/>
    </w:rPr>
  </w:style>
  <w:style w:type="paragraph" w:customStyle="1" w:styleId="123">
    <w:name w:val="style1"/>
    <w:basedOn w:val="1"/>
    <w:qFormat/>
    <w:uiPriority w:val="0"/>
    <w:pPr>
      <w:widowControl/>
      <w:spacing w:before="100" w:beforeAutospacing="1" w:after="100" w:afterAutospacing="1"/>
      <w:jc w:val="left"/>
    </w:pPr>
    <w:rPr>
      <w:rFonts w:ascii="宋体" w:hAnsi="宋体" w:cs="宋体"/>
      <w:snapToGrid w:val="0"/>
      <w:kern w:val="0"/>
      <w:sz w:val="24"/>
    </w:rPr>
  </w:style>
  <w:style w:type="paragraph" w:customStyle="1" w:styleId="124">
    <w:name w:val="style4"/>
    <w:basedOn w:val="1"/>
    <w:qFormat/>
    <w:uiPriority w:val="0"/>
    <w:pPr>
      <w:widowControl/>
      <w:spacing w:before="100" w:beforeAutospacing="1" w:after="100" w:afterAutospacing="1"/>
      <w:jc w:val="left"/>
    </w:pPr>
    <w:rPr>
      <w:rFonts w:ascii="宋体" w:hAnsi="宋体" w:cs="宋体"/>
      <w:snapToGrid w:val="0"/>
      <w:kern w:val="0"/>
      <w:sz w:val="26"/>
      <w:szCs w:val="26"/>
    </w:rPr>
  </w:style>
  <w:style w:type="character" w:customStyle="1" w:styleId="125">
    <w:name w:val="批注框文本 Char"/>
    <w:link w:val="25"/>
    <w:qFormat/>
    <w:uiPriority w:val="99"/>
    <w:rPr>
      <w:kern w:val="2"/>
      <w:sz w:val="18"/>
      <w:szCs w:val="18"/>
    </w:rPr>
  </w:style>
  <w:style w:type="paragraph" w:customStyle="1" w:styleId="126">
    <w:name w:val="p0"/>
    <w:basedOn w:val="1"/>
    <w:qFormat/>
    <w:uiPriority w:val="99"/>
    <w:pPr>
      <w:widowControl/>
      <w:jc w:val="left"/>
    </w:pPr>
    <w:rPr>
      <w:rFonts w:ascii="MingLiU" w:hAnsi="MingLiU" w:eastAsia="MingLiU" w:cs="宋体"/>
      <w:snapToGrid w:val="0"/>
      <w:kern w:val="0"/>
      <w:sz w:val="24"/>
    </w:rPr>
  </w:style>
  <w:style w:type="paragraph" w:customStyle="1" w:styleId="127">
    <w:name w:val="p16"/>
    <w:basedOn w:val="1"/>
    <w:qFormat/>
    <w:uiPriority w:val="0"/>
    <w:pPr>
      <w:widowControl/>
      <w:snapToGrid w:val="0"/>
      <w:spacing w:line="360" w:lineRule="atLeast"/>
      <w:jc w:val="left"/>
      <w:textAlignment w:val="baseline"/>
    </w:pPr>
    <w:rPr>
      <w:rFonts w:ascii="宋体" w:hAnsi="宋体" w:cs="宋体"/>
      <w:snapToGrid w:val="0"/>
      <w:kern w:val="0"/>
      <w:sz w:val="24"/>
    </w:rPr>
  </w:style>
  <w:style w:type="table" w:customStyle="1" w:styleId="128">
    <w:name w:val="网格型1"/>
    <w:basedOn w:val="41"/>
    <w:qFormat/>
    <w:uiPriority w:val="0"/>
    <w:pPr>
      <w:widowControl w:val="0"/>
      <w:jc w:val="both"/>
    </w:pPr>
    <w:rPr>
      <w:rFonts w:ascii="宋体" w:hAnsi="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9">
    <w:name w:val="尾注文本 Char"/>
    <w:link w:val="24"/>
    <w:qFormat/>
    <w:uiPriority w:val="0"/>
    <w:rPr>
      <w:rFonts w:ascii="MingLiU" w:hAnsi="宋体" w:eastAsia="MingLiU"/>
      <w:snapToGrid/>
      <w:sz w:val="24"/>
      <w:lang w:eastAsia="en-US"/>
    </w:rPr>
  </w:style>
  <w:style w:type="character" w:customStyle="1" w:styleId="130">
    <w:name w:val="纯文本 Char"/>
    <w:link w:val="20"/>
    <w:qFormat/>
    <w:uiPriority w:val="0"/>
    <w:rPr>
      <w:rFonts w:ascii="宋体" w:hAnsi="Courier New"/>
      <w:color w:val="000000"/>
      <w:sz w:val="21"/>
      <w:szCs w:val="21"/>
    </w:rPr>
  </w:style>
  <w:style w:type="character" w:customStyle="1" w:styleId="131">
    <w:name w:val="副标题 Char"/>
    <w:link w:val="30"/>
    <w:qFormat/>
    <w:uiPriority w:val="0"/>
    <w:rPr>
      <w:rFonts w:ascii="Cambria" w:hAnsi="Cambria"/>
      <w:b/>
      <w:snapToGrid/>
      <w:kern w:val="28"/>
      <w:sz w:val="32"/>
      <w:lang w:eastAsia="en-US"/>
    </w:rPr>
  </w:style>
  <w:style w:type="character" w:customStyle="1" w:styleId="132">
    <w:name w:val="副标题 Char1"/>
    <w:qFormat/>
    <w:uiPriority w:val="0"/>
    <w:rPr>
      <w:rFonts w:ascii="Cambria" w:hAnsi="Cambria" w:cs="Times New Roman"/>
      <w:b/>
      <w:bCs/>
      <w:kern w:val="28"/>
      <w:sz w:val="32"/>
      <w:szCs w:val="32"/>
    </w:rPr>
  </w:style>
  <w:style w:type="character" w:customStyle="1" w:styleId="133">
    <w:name w:val="批注文字 Char"/>
    <w:link w:val="14"/>
    <w:qFormat/>
    <w:uiPriority w:val="0"/>
    <w:rPr>
      <w:sz w:val="24"/>
    </w:rPr>
  </w:style>
  <w:style w:type="character" w:customStyle="1" w:styleId="134">
    <w:name w:val="批注主题 Char"/>
    <w:link w:val="39"/>
    <w:qFormat/>
    <w:uiPriority w:val="0"/>
    <w:rPr>
      <w:rFonts w:hAnsi="宋体"/>
      <w:b/>
      <w:bCs/>
      <w:snapToGrid/>
      <w:kern w:val="2"/>
      <w:sz w:val="21"/>
      <w:szCs w:val="24"/>
    </w:rPr>
  </w:style>
  <w:style w:type="paragraph" w:customStyle="1" w:styleId="135">
    <w:name w:val="Char"/>
    <w:basedOn w:val="1"/>
    <w:qFormat/>
    <w:uiPriority w:val="0"/>
    <w:rPr>
      <w:szCs w:val="20"/>
    </w:rPr>
  </w:style>
  <w:style w:type="paragraph" w:customStyle="1" w:styleId="136">
    <w:name w:val="_Style 1"/>
    <w:basedOn w:val="1"/>
    <w:qFormat/>
    <w:uiPriority w:val="0"/>
    <w:rPr>
      <w:szCs w:val="20"/>
    </w:rPr>
  </w:style>
  <w:style w:type="paragraph" w:customStyle="1" w:styleId="13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38">
    <w:name w:val="日期 Char1"/>
    <w:qFormat/>
    <w:uiPriority w:val="0"/>
    <w:rPr>
      <w:rFonts w:hint="eastAsia" w:ascii="宋体" w:eastAsia="宋体"/>
      <w:sz w:val="24"/>
    </w:rPr>
  </w:style>
  <w:style w:type="paragraph" w:customStyle="1" w:styleId="139">
    <w:name w:val="列出段落1"/>
    <w:basedOn w:val="1"/>
    <w:qFormat/>
    <w:uiPriority w:val="34"/>
    <w:pPr>
      <w:ind w:firstLine="420" w:firstLineChars="200"/>
    </w:pPr>
    <w:rPr>
      <w:rFonts w:ascii="Calibri" w:hAnsi="Calibri"/>
      <w:szCs w:val="22"/>
    </w:rPr>
  </w:style>
  <w:style w:type="character" w:customStyle="1" w:styleId="140">
    <w:name w:val="正文文本缩进 Char"/>
    <w:link w:val="17"/>
    <w:qFormat/>
    <w:uiPriority w:val="0"/>
    <w:rPr>
      <w:rFonts w:eastAsia="仿宋_GB2312"/>
      <w:kern w:val="2"/>
      <w:sz w:val="24"/>
      <w:szCs w:val="24"/>
    </w:rPr>
  </w:style>
  <w:style w:type="character" w:customStyle="1" w:styleId="141">
    <w:name w:val="正文文本 Char"/>
    <w:link w:val="16"/>
    <w:qFormat/>
    <w:uiPriority w:val="0"/>
    <w:rPr>
      <w:rFonts w:ascii="宋体" w:hAnsi="宋体"/>
      <w:kern w:val="2"/>
      <w:sz w:val="28"/>
      <w:szCs w:val="24"/>
    </w:rPr>
  </w:style>
  <w:style w:type="paragraph" w:customStyle="1" w:styleId="142">
    <w:name w:val="字元 字元 Char Char"/>
    <w:basedOn w:val="13"/>
    <w:qFormat/>
    <w:uiPriority w:val="0"/>
    <w:pPr>
      <w:adjustRightInd w:val="0"/>
      <w:spacing w:line="436" w:lineRule="exact"/>
      <w:ind w:left="357"/>
      <w:jc w:val="left"/>
      <w:outlineLvl w:val="3"/>
    </w:pPr>
    <w:rPr>
      <w:rFonts w:ascii="Tahoma" w:hAnsi="Tahoma"/>
      <w:b/>
      <w:snapToGrid/>
      <w:sz w:val="24"/>
    </w:rPr>
  </w:style>
  <w:style w:type="paragraph" w:customStyle="1" w:styleId="143">
    <w:name w:val="字元 字元 Char Char1"/>
    <w:basedOn w:val="13"/>
    <w:qFormat/>
    <w:uiPriority w:val="0"/>
    <w:pPr>
      <w:adjustRightInd w:val="0"/>
      <w:spacing w:line="436" w:lineRule="exact"/>
      <w:ind w:left="357"/>
      <w:jc w:val="left"/>
      <w:outlineLvl w:val="3"/>
    </w:pPr>
    <w:rPr>
      <w:rFonts w:ascii="Tahoma" w:hAnsi="Tahoma"/>
      <w:b/>
      <w:snapToGrid/>
      <w:sz w:val="24"/>
    </w:rPr>
  </w:style>
  <w:style w:type="character" w:customStyle="1" w:styleId="144">
    <w:name w:val="标题 Char"/>
    <w:link w:val="38"/>
    <w:qFormat/>
    <w:uiPriority w:val="10"/>
    <w:rPr>
      <w:rFonts w:ascii="Cambria" w:hAnsi="Cambria"/>
      <w:b/>
      <w:bCs/>
      <w:kern w:val="2"/>
      <w:sz w:val="32"/>
      <w:szCs w:val="32"/>
    </w:rPr>
  </w:style>
  <w:style w:type="paragraph" w:customStyle="1" w:styleId="145">
    <w:name w:val="样式7"/>
    <w:basedOn w:val="1"/>
    <w:qFormat/>
    <w:uiPriority w:val="0"/>
    <w:pPr>
      <w:autoSpaceDE w:val="0"/>
      <w:autoSpaceDN w:val="0"/>
      <w:adjustRightInd w:val="0"/>
      <w:jc w:val="center"/>
    </w:pPr>
    <w:rPr>
      <w:b/>
      <w:kern w:val="20"/>
      <w:sz w:val="30"/>
      <w:szCs w:val="20"/>
    </w:rPr>
  </w:style>
  <w:style w:type="character" w:customStyle="1" w:styleId="146">
    <w:name w:val="正文文本缩进 3 Char"/>
    <w:link w:val="32"/>
    <w:qFormat/>
    <w:uiPriority w:val="0"/>
    <w:rPr>
      <w:rFonts w:ascii="仿宋_GB2312" w:eastAsia="仿宋_GB2312"/>
      <w:b/>
      <w:bCs/>
      <w:kern w:val="2"/>
      <w:sz w:val="24"/>
      <w:szCs w:val="24"/>
    </w:rPr>
  </w:style>
  <w:style w:type="table" w:customStyle="1" w:styleId="147">
    <w:name w:val="网格型2"/>
    <w:basedOn w:val="41"/>
    <w:qFormat/>
    <w:uiPriority w:val="0"/>
    <w:pPr>
      <w:widowControl w:val="0"/>
      <w:jc w:val="both"/>
    </w:pPr>
    <w:rPr>
      <w:rFonts w:ascii="宋体" w:hAnsi="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8">
    <w:name w:val="网格型3"/>
    <w:basedOn w:val="41"/>
    <w:qFormat/>
    <w:uiPriority w:val="0"/>
    <w:pPr>
      <w:widowControl w:val="0"/>
      <w:jc w:val="both"/>
    </w:pPr>
    <w:rPr>
      <w:rFonts w:ascii="宋体" w:hAnsi="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9">
    <w:name w:val="网格型4"/>
    <w:basedOn w:val="41"/>
    <w:qFormat/>
    <w:locked/>
    <w:uiPriority w:val="0"/>
    <w:pPr>
      <w:widowControl w:val="0"/>
      <w:autoSpaceDE w:val="0"/>
      <w:autoSpaceDN w:val="0"/>
      <w:adjustRightInd w:val="0"/>
      <w:spacing w:before="100" w:after="1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0">
    <w:name w:val="标题 2 Char"/>
    <w:basedOn w:val="43"/>
    <w:link w:val="3"/>
    <w:qFormat/>
    <w:uiPriority w:val="0"/>
    <w:rPr>
      <w:rFonts w:ascii="Arial" w:hAnsi="Arial" w:eastAsia="黑体"/>
      <w:b/>
      <w:bCs/>
      <w:kern w:val="2"/>
      <w:sz w:val="32"/>
      <w:szCs w:val="32"/>
    </w:rPr>
  </w:style>
  <w:style w:type="paragraph" w:customStyle="1" w:styleId="151">
    <w:name w:val="目录 11"/>
    <w:basedOn w:val="1"/>
    <w:next w:val="1"/>
    <w:semiHidden/>
    <w:qFormat/>
    <w:uiPriority w:val="99"/>
    <w:pPr>
      <w:ind w:left="-2" w:leftChars="-1" w:firstLine="1"/>
    </w:pPr>
    <w:rPr>
      <w:rFonts w:ascii="宋体" w:hAnsi="宋体"/>
      <w:szCs w:val="21"/>
      <w:lang w:val="zh-CN"/>
    </w:rPr>
  </w:style>
  <w:style w:type="character" w:customStyle="1" w:styleId="152">
    <w:name w:val="正文文本缩进 2 Char"/>
    <w:basedOn w:val="43"/>
    <w:link w:val="23"/>
    <w:qFormat/>
    <w:uiPriority w:val="99"/>
    <w:rPr>
      <w:rFonts w:ascii="宋体" w:hAnsi="宋体"/>
      <w:kern w:val="2"/>
      <w:sz w:val="28"/>
      <w:szCs w:val="24"/>
    </w:rPr>
  </w:style>
  <w:style w:type="table" w:customStyle="1" w:styleId="153">
    <w:name w:val="网格型5"/>
    <w:basedOn w:val="41"/>
    <w:qFormat/>
    <w:uiPriority w:val="99"/>
    <w:pPr>
      <w:widowControl w:val="0"/>
      <w:autoSpaceDE w:val="0"/>
      <w:autoSpaceDN w:val="0"/>
      <w:adjustRightInd w:val="0"/>
      <w:spacing w:before="100" w:after="1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4">
    <w:name w:val="HTML 预设格式 Char"/>
    <w:basedOn w:val="43"/>
    <w:link w:val="35"/>
    <w:qFormat/>
    <w:uiPriority w:val="99"/>
    <w:rPr>
      <w:rFonts w:ascii="Arial" w:hAnsi="Arial" w:cs="Arial"/>
      <w:sz w:val="24"/>
      <w:szCs w:val="24"/>
    </w:rPr>
  </w:style>
  <w:style w:type="character" w:customStyle="1" w:styleId="155">
    <w:name w:val="style821"/>
    <w:basedOn w:val="43"/>
    <w:qFormat/>
    <w:uiPriority w:val="99"/>
    <w:rPr>
      <w:rFonts w:cs="Times New Roman"/>
      <w:color w:val="333333"/>
    </w:rPr>
  </w:style>
  <w:style w:type="character" w:customStyle="1" w:styleId="156">
    <w:name w:val="正文首行缩进 2 Char"/>
    <w:basedOn w:val="140"/>
    <w:link w:val="40"/>
    <w:qFormat/>
    <w:uiPriority w:val="0"/>
    <w:rPr>
      <w:rFonts w:eastAsia="仿宋_GB2312"/>
      <w:kern w:val="2"/>
      <w:sz w:val="21"/>
      <w:szCs w:val="24"/>
    </w:rPr>
  </w:style>
  <w:style w:type="paragraph" w:customStyle="1" w:styleId="15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58">
    <w:name w:val="无间隔1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59">
    <w:name w:val="列出段落111"/>
    <w:basedOn w:val="1"/>
    <w:qFormat/>
    <w:uiPriority w:val="34"/>
    <w:pPr>
      <w:ind w:firstLine="420" w:firstLineChars="200"/>
    </w:pPr>
    <w:rPr>
      <w:rFonts w:ascii="Calibri" w:hAnsi="Calibri"/>
      <w:szCs w:val="22"/>
    </w:rPr>
  </w:style>
  <w:style w:type="paragraph" w:customStyle="1" w:styleId="160">
    <w:name w:val="列出段落11"/>
    <w:basedOn w:val="1"/>
    <w:qFormat/>
    <w:uiPriority w:val="34"/>
    <w:pPr>
      <w:ind w:firstLine="420" w:firstLineChars="200"/>
    </w:pPr>
  </w:style>
  <w:style w:type="paragraph" w:customStyle="1" w:styleId="161">
    <w:name w:val="正文文字缩进2字符"/>
    <w:basedOn w:val="1"/>
    <w:next w:val="36"/>
    <w:qFormat/>
    <w:uiPriority w:val="0"/>
    <w:pPr>
      <w:widowControl/>
      <w:wordWrap w:val="0"/>
      <w:spacing w:before="100" w:beforeAutospacing="1" w:after="100" w:afterAutospacing="1" w:line="360" w:lineRule="auto"/>
    </w:pPr>
    <w:rPr>
      <w:rFonts w:ascii="Arial Unicode MS" w:eastAsia="Arial Unicode MS"/>
      <w:kern w:val="0"/>
      <w:lang w:eastAsia="zh-CN"/>
    </w:rPr>
  </w:style>
  <w:style w:type="paragraph" w:styleId="162">
    <w:name w:val="List Paragraph"/>
    <w:basedOn w:val="1"/>
    <w:qFormat/>
    <w:uiPriority w:val="0"/>
    <w:pPr>
      <w:widowControl/>
      <w:ind w:firstLine="420" w:firstLineChars="200"/>
    </w:pPr>
    <w:rPr>
      <w:rFonts w:ascii="Palatino" w:hAnsi="Palatino" w:eastAsia="宋体"/>
      <w:kern w:val="0"/>
      <w:sz w:val="20"/>
      <w:lang w:eastAsia="en-US"/>
    </w:rPr>
  </w:style>
  <w:style w:type="character" w:customStyle="1" w:styleId="163">
    <w:name w:val="release-day"/>
    <w:basedOn w:val="43"/>
    <w:qFormat/>
    <w:uiPriority w:val="0"/>
    <w:rPr>
      <w:bdr w:val="single" w:color="BDEBB0" w:sz="6" w:space="0"/>
      <w:shd w:val="clear" w:fill="F5FFF1"/>
    </w:rPr>
  </w:style>
  <w:style w:type="character" w:customStyle="1" w:styleId="164">
    <w:name w:val="num10"/>
    <w:basedOn w:val="43"/>
    <w:qFormat/>
    <w:uiPriority w:val="0"/>
    <w:rPr>
      <w:b/>
      <w:color w:val="FF7800"/>
    </w:rPr>
  </w:style>
  <w:style w:type="character" w:customStyle="1" w:styleId="165">
    <w:name w:val="answer-title12"/>
    <w:basedOn w:val="43"/>
    <w:qFormat/>
    <w:uiPriority w:val="0"/>
  </w:style>
  <w:style w:type="character" w:customStyle="1" w:styleId="166">
    <w:name w:val="con1"/>
    <w:basedOn w:val="43"/>
    <w:qFormat/>
    <w:uiPriority w:val="0"/>
  </w:style>
  <w:style w:type="paragraph" w:customStyle="1" w:styleId="167">
    <w:name w:val="列出段落2"/>
    <w:basedOn w:val="1"/>
    <w:qFormat/>
    <w:uiPriority w:val="34"/>
    <w:pPr>
      <w:ind w:firstLine="420" w:firstLineChars="200"/>
    </w:pPr>
    <w:rPr>
      <w:rFonts w:ascii="Calibri" w:hAnsi="Calibri"/>
      <w:szCs w:val="22"/>
    </w:rPr>
  </w:style>
  <w:style w:type="character" w:customStyle="1" w:styleId="168">
    <w:name w:val="font11"/>
    <w:basedOn w:val="43"/>
    <w:qFormat/>
    <w:uiPriority w:val="0"/>
    <w:rPr>
      <w:rFonts w:hint="default" w:ascii="Times New Roman" w:hAnsi="Times New Roman" w:cs="Times New Roman"/>
      <w:b/>
      <w:color w:val="000000"/>
      <w:sz w:val="20"/>
      <w:szCs w:val="20"/>
      <w:u w:val="none"/>
    </w:rPr>
  </w:style>
  <w:style w:type="character" w:customStyle="1" w:styleId="169">
    <w:name w:val="font01"/>
    <w:basedOn w:val="43"/>
    <w:qFormat/>
    <w:uiPriority w:val="0"/>
    <w:rPr>
      <w:rFonts w:hint="eastAsia" w:ascii="宋体" w:hAnsi="宋体" w:eastAsia="宋体" w:cs="宋体"/>
      <w:b/>
      <w:color w:val="000000"/>
      <w:sz w:val="20"/>
      <w:szCs w:val="20"/>
      <w:u w:val="none"/>
    </w:rPr>
  </w:style>
  <w:style w:type="paragraph" w:customStyle="1" w:styleId="170">
    <w:name w:val="条款"/>
    <w:basedOn w:val="6"/>
    <w:autoRedefine/>
    <w:qFormat/>
    <w:uiPriority w:val="0"/>
    <w:pPr>
      <w:numPr>
        <w:ilvl w:val="0"/>
        <w:numId w:val="5"/>
      </w:numPr>
      <w:tabs>
        <w:tab w:val="left" w:pos="851"/>
      </w:tabs>
      <w:spacing w:before="40" w:after="40" w:line="300" w:lineRule="auto"/>
      <w:ind w:left="851" w:hanging="851"/>
    </w:pPr>
    <w:rPr>
      <w:rFonts w:ascii="宋体" w:hAnsi="宋体"/>
      <w:sz w:val="21"/>
      <w:szCs w:val="21"/>
    </w:rPr>
  </w:style>
  <w:style w:type="paragraph" w:customStyle="1" w:styleId="171">
    <w:name w:val="aa"/>
    <w:basedOn w:val="1"/>
    <w:qFormat/>
    <w:uiPriority w:val="0"/>
    <w:pPr>
      <w:spacing w:line="360" w:lineRule="auto"/>
    </w:pPr>
  </w:style>
  <w:style w:type="paragraph" w:customStyle="1" w:styleId="172">
    <w:name w:val="k 正文"/>
    <w:basedOn w:val="1"/>
    <w:qFormat/>
    <w:uiPriority w:val="0"/>
    <w:pPr>
      <w:spacing w:line="360" w:lineRule="auto"/>
      <w:ind w:firstLine="200" w:firstLineChars="200"/>
    </w:pPr>
    <w:rPr>
      <w:sz w:val="24"/>
    </w:rPr>
  </w:style>
  <w:style w:type="paragraph" w:customStyle="1" w:styleId="173">
    <w:name w:val="列出段落4"/>
    <w:basedOn w:val="1"/>
    <w:autoRedefine/>
    <w:qFormat/>
    <w:uiPriority w:val="99"/>
    <w:pPr>
      <w:ind w:firstLine="420" w:firstLineChars="200"/>
    </w:pPr>
  </w:style>
  <w:style w:type="character" w:customStyle="1" w:styleId="174">
    <w:name w:val="font41"/>
    <w:basedOn w:val="43"/>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16.xml"/><Relationship Id="rId25" Type="http://schemas.openxmlformats.org/officeDocument/2006/relationships/footer" Target="footer15.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header" Target="header7.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77</Pages>
  <Words>9687</Words>
  <Characters>10102</Characters>
  <Lines>223</Lines>
  <Paragraphs>63</Paragraphs>
  <TotalTime>7</TotalTime>
  <ScaleCrop>false</ScaleCrop>
  <LinksUpToDate>false</LinksUpToDate>
  <CharactersWithSpaces>10403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2017-07-07T03:33:00Z</dcterms:created>
  <dc:creator>宏帆集团项目管理中心</dc:creator>
  <cp:lastModifiedBy>西风</cp:lastModifiedBy>
  <cp:lastPrinted>2024-11-28T06:11:00Z</cp:lastPrinted>
  <dcterms:modified xsi:type="dcterms:W3CDTF">2024-11-29T01:17:17Z</dcterms:modified>
  <dc:title>招标文件--专业分包范本</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0FDF90CC46C44D1AACB9BCFCAA231148_13</vt:lpwstr>
  </property>
</Properties>
</file>